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5F01F" w14:textId="77777777" w:rsidR="00D37B61" w:rsidRDefault="00000000">
      <w:pPr>
        <w:spacing w:after="160" w:line="240" w:lineRule="auto"/>
        <w:jc w:val="center"/>
        <w:rPr>
          <w:color w:val="467886"/>
          <w:sz w:val="24"/>
          <w:szCs w:val="24"/>
        </w:rPr>
      </w:pPr>
      <w:r>
        <w:rPr>
          <w:b/>
          <w:sz w:val="28"/>
          <w:szCs w:val="28"/>
        </w:rPr>
        <w:t>Vignette Documentation</w:t>
      </w:r>
    </w:p>
    <w:p w14:paraId="5E19D251" w14:textId="77777777" w:rsidR="00D37B61" w:rsidRDefault="00D37B61">
      <w:pPr>
        <w:spacing w:after="100" w:line="240" w:lineRule="auto"/>
        <w:jc w:val="both"/>
        <w:rPr>
          <w:color w:val="467886"/>
          <w:sz w:val="28"/>
          <w:szCs w:val="28"/>
        </w:rPr>
      </w:pPr>
    </w:p>
    <w:p w14:paraId="1FA64D56" w14:textId="77777777" w:rsidR="00D37B61" w:rsidRDefault="00D37B61">
      <w:pPr>
        <w:spacing w:after="100" w:line="240" w:lineRule="auto"/>
        <w:jc w:val="both"/>
        <w:rPr>
          <w:color w:val="467886"/>
          <w:sz w:val="28"/>
          <w:szCs w:val="28"/>
        </w:rPr>
      </w:pPr>
    </w:p>
    <w:sdt>
      <w:sdtPr>
        <w:id w:val="863942663"/>
        <w:docPartObj>
          <w:docPartGallery w:val="Table of Contents"/>
          <w:docPartUnique/>
        </w:docPartObj>
      </w:sdtPr>
      <w:sdtContent>
        <w:p w14:paraId="49F1A2E6" w14:textId="77777777" w:rsidR="00D37B61" w:rsidRDefault="00000000">
          <w:pPr>
            <w:widowControl w:val="0"/>
            <w:tabs>
              <w:tab w:val="right" w:pos="936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udkioui1l9gz">
            <w:r>
              <w:rPr>
                <w:b/>
                <w:color w:val="000000"/>
              </w:rPr>
              <w:t>Summary</w:t>
            </w:r>
            <w:r>
              <w:rPr>
                <w:b/>
                <w:color w:val="000000"/>
              </w:rPr>
              <w:tab/>
            </w:r>
          </w:hyperlink>
          <w:r>
            <w:fldChar w:fldCharType="begin"/>
          </w:r>
          <w:r>
            <w:instrText xml:space="preserve"> PAGEREF _udkioui1l9gz \h </w:instrText>
          </w:r>
          <w:r>
            <w:fldChar w:fldCharType="separate"/>
          </w:r>
          <w:r>
            <w:rPr>
              <w:b/>
            </w:rPr>
            <w:t>3</w:t>
          </w:r>
          <w:r>
            <w:fldChar w:fldCharType="end"/>
          </w:r>
        </w:p>
        <w:p w14:paraId="56033668" w14:textId="77777777" w:rsidR="00D37B61" w:rsidRDefault="00000000">
          <w:pPr>
            <w:widowControl w:val="0"/>
            <w:tabs>
              <w:tab w:val="right" w:pos="9360"/>
            </w:tabs>
            <w:spacing w:before="60" w:line="240" w:lineRule="auto"/>
            <w:ind w:left="360"/>
            <w:rPr>
              <w:color w:val="000000"/>
            </w:rPr>
          </w:pPr>
          <w:hyperlink w:anchor="_18v74meczzru">
            <w:r>
              <w:rPr>
                <w:color w:val="000000"/>
              </w:rPr>
              <w:t>Cancer Vignette Example</w:t>
            </w:r>
            <w:r>
              <w:rPr>
                <w:color w:val="000000"/>
              </w:rPr>
              <w:tab/>
            </w:r>
          </w:hyperlink>
          <w:r>
            <w:fldChar w:fldCharType="begin"/>
          </w:r>
          <w:r>
            <w:instrText xml:space="preserve"> PAGEREF _18v74meczzru \h </w:instrText>
          </w:r>
          <w:r>
            <w:fldChar w:fldCharType="separate"/>
          </w:r>
          <w:r>
            <w:t>4</w:t>
          </w:r>
          <w:r>
            <w:fldChar w:fldCharType="end"/>
          </w:r>
        </w:p>
        <w:p w14:paraId="544B205A" w14:textId="77777777" w:rsidR="00D37B61" w:rsidRDefault="00000000">
          <w:pPr>
            <w:widowControl w:val="0"/>
            <w:tabs>
              <w:tab w:val="right" w:pos="9360"/>
            </w:tabs>
            <w:spacing w:before="60" w:line="240" w:lineRule="auto"/>
            <w:rPr>
              <w:b/>
              <w:color w:val="000000"/>
            </w:rPr>
          </w:pPr>
          <w:hyperlink w:anchor="_isxzbojdnfjk">
            <w:r>
              <w:rPr>
                <w:b/>
                <w:color w:val="000000"/>
              </w:rPr>
              <w:t>Overall Schematic</w:t>
            </w:r>
            <w:r>
              <w:rPr>
                <w:b/>
                <w:color w:val="000000"/>
              </w:rPr>
              <w:tab/>
            </w:r>
          </w:hyperlink>
          <w:r>
            <w:fldChar w:fldCharType="begin"/>
          </w:r>
          <w:r>
            <w:instrText xml:space="preserve"> PAGEREF _isxzbojdnfjk \h </w:instrText>
          </w:r>
          <w:r>
            <w:fldChar w:fldCharType="separate"/>
          </w:r>
          <w:r>
            <w:rPr>
              <w:b/>
            </w:rPr>
            <w:t>5</w:t>
          </w:r>
          <w:r>
            <w:fldChar w:fldCharType="end"/>
          </w:r>
        </w:p>
        <w:p w14:paraId="6124FE1A" w14:textId="77777777" w:rsidR="00D37B61" w:rsidRDefault="00000000">
          <w:pPr>
            <w:widowControl w:val="0"/>
            <w:tabs>
              <w:tab w:val="right" w:pos="9360"/>
            </w:tabs>
            <w:spacing w:before="60" w:line="240" w:lineRule="auto"/>
            <w:ind w:left="360"/>
            <w:rPr>
              <w:color w:val="000000"/>
            </w:rPr>
          </w:pPr>
          <w:hyperlink w:anchor="_victaslz5pbw">
            <w:r>
              <w:rPr>
                <w:color w:val="000000"/>
              </w:rPr>
              <w:t>Summary</w:t>
            </w:r>
            <w:r>
              <w:rPr>
                <w:color w:val="000000"/>
              </w:rPr>
              <w:tab/>
            </w:r>
          </w:hyperlink>
          <w:r>
            <w:fldChar w:fldCharType="begin"/>
          </w:r>
          <w:r>
            <w:instrText xml:space="preserve"> PAGEREF _victaslz5pbw \h </w:instrText>
          </w:r>
          <w:r>
            <w:fldChar w:fldCharType="separate"/>
          </w:r>
          <w:r>
            <w:t>5</w:t>
          </w:r>
          <w:r>
            <w:fldChar w:fldCharType="end"/>
          </w:r>
        </w:p>
        <w:p w14:paraId="63350A61" w14:textId="77777777" w:rsidR="00D37B61" w:rsidRDefault="00000000">
          <w:pPr>
            <w:widowControl w:val="0"/>
            <w:tabs>
              <w:tab w:val="right" w:pos="9360"/>
            </w:tabs>
            <w:spacing w:before="60" w:line="240" w:lineRule="auto"/>
            <w:ind w:left="360"/>
            <w:rPr>
              <w:color w:val="000000"/>
            </w:rPr>
          </w:pPr>
          <w:hyperlink w:anchor="_31d23echm096">
            <w:r>
              <w:rPr>
                <w:color w:val="000000"/>
              </w:rPr>
              <w:t>Time and Date Stamp</w:t>
            </w:r>
            <w:r>
              <w:rPr>
                <w:color w:val="000000"/>
              </w:rPr>
              <w:tab/>
            </w:r>
          </w:hyperlink>
          <w:r>
            <w:fldChar w:fldCharType="begin"/>
          </w:r>
          <w:r>
            <w:instrText xml:space="preserve"> PAGEREF _31d23echm096 \h </w:instrText>
          </w:r>
          <w:r>
            <w:fldChar w:fldCharType="separate"/>
          </w:r>
          <w:r>
            <w:t>5</w:t>
          </w:r>
          <w:r>
            <w:fldChar w:fldCharType="end"/>
          </w:r>
        </w:p>
        <w:p w14:paraId="04DC0A67" w14:textId="77777777" w:rsidR="00D37B61" w:rsidRDefault="00000000">
          <w:pPr>
            <w:widowControl w:val="0"/>
            <w:tabs>
              <w:tab w:val="right" w:pos="9360"/>
            </w:tabs>
            <w:spacing w:before="60" w:line="240" w:lineRule="auto"/>
            <w:rPr>
              <w:b/>
              <w:color w:val="000000"/>
            </w:rPr>
          </w:pPr>
          <w:hyperlink w:anchor="_77gx6hzfvvtc">
            <w:r>
              <w:rPr>
                <w:b/>
                <w:color w:val="000000"/>
              </w:rPr>
              <w:t>Cohort Metadata</w:t>
            </w:r>
            <w:r>
              <w:rPr>
                <w:b/>
                <w:color w:val="000000"/>
              </w:rPr>
              <w:tab/>
            </w:r>
          </w:hyperlink>
          <w:r>
            <w:fldChar w:fldCharType="begin"/>
          </w:r>
          <w:r>
            <w:instrText xml:space="preserve"> PAGEREF _77gx6hzfvvtc \h </w:instrText>
          </w:r>
          <w:r>
            <w:fldChar w:fldCharType="separate"/>
          </w:r>
          <w:r>
            <w:rPr>
              <w:b/>
            </w:rPr>
            <w:t>6</w:t>
          </w:r>
          <w:r>
            <w:fldChar w:fldCharType="end"/>
          </w:r>
        </w:p>
        <w:p w14:paraId="0887B8C2" w14:textId="77777777" w:rsidR="00D37B61" w:rsidRDefault="00000000">
          <w:pPr>
            <w:widowControl w:val="0"/>
            <w:tabs>
              <w:tab w:val="right" w:pos="9360"/>
            </w:tabs>
            <w:spacing w:before="60" w:line="240" w:lineRule="auto"/>
            <w:ind w:left="360"/>
            <w:rPr>
              <w:color w:val="000000"/>
            </w:rPr>
          </w:pPr>
          <w:hyperlink w:anchor="_76citdlue1by">
            <w:r>
              <w:rPr>
                <w:color w:val="000000"/>
              </w:rPr>
              <w:t>Summary</w:t>
            </w:r>
            <w:r>
              <w:rPr>
                <w:color w:val="000000"/>
              </w:rPr>
              <w:tab/>
            </w:r>
          </w:hyperlink>
          <w:r>
            <w:fldChar w:fldCharType="begin"/>
          </w:r>
          <w:r>
            <w:instrText xml:space="preserve"> PAGEREF _76citdlue1by \h </w:instrText>
          </w:r>
          <w:r>
            <w:fldChar w:fldCharType="separate"/>
          </w:r>
          <w:r>
            <w:t>6</w:t>
          </w:r>
          <w:r>
            <w:fldChar w:fldCharType="end"/>
          </w:r>
        </w:p>
        <w:p w14:paraId="59C7ABD0" w14:textId="77777777" w:rsidR="00D37B61" w:rsidRDefault="00000000">
          <w:pPr>
            <w:widowControl w:val="0"/>
            <w:tabs>
              <w:tab w:val="right" w:pos="9360"/>
            </w:tabs>
            <w:spacing w:before="60" w:line="240" w:lineRule="auto"/>
            <w:ind w:left="360"/>
            <w:rPr>
              <w:color w:val="000000"/>
            </w:rPr>
          </w:pPr>
          <w:hyperlink w:anchor="_3zm8ij1cfka7">
            <w:r>
              <w:rPr>
                <w:color w:val="000000"/>
              </w:rPr>
              <w:t>Figure Description</w:t>
            </w:r>
            <w:r>
              <w:rPr>
                <w:color w:val="000000"/>
              </w:rPr>
              <w:tab/>
            </w:r>
          </w:hyperlink>
          <w:r>
            <w:fldChar w:fldCharType="begin"/>
          </w:r>
          <w:r>
            <w:instrText xml:space="preserve"> PAGEREF _3zm8ij1cfka7 \h </w:instrText>
          </w:r>
          <w:r>
            <w:fldChar w:fldCharType="separate"/>
          </w:r>
          <w:r>
            <w:t>6</w:t>
          </w:r>
          <w:r>
            <w:fldChar w:fldCharType="end"/>
          </w:r>
        </w:p>
        <w:p w14:paraId="5C173363" w14:textId="77777777" w:rsidR="00D37B61" w:rsidRDefault="00000000">
          <w:pPr>
            <w:widowControl w:val="0"/>
            <w:tabs>
              <w:tab w:val="right" w:pos="9360"/>
            </w:tabs>
            <w:spacing w:before="60" w:line="240" w:lineRule="auto"/>
            <w:rPr>
              <w:b/>
              <w:color w:val="000000"/>
            </w:rPr>
          </w:pPr>
          <w:hyperlink w:anchor="_g8bbheildks1">
            <w:r>
              <w:rPr>
                <w:b/>
                <w:color w:val="000000"/>
              </w:rPr>
              <w:t>Tumor Characteristics</w:t>
            </w:r>
            <w:r>
              <w:rPr>
                <w:b/>
                <w:color w:val="000000"/>
              </w:rPr>
              <w:tab/>
            </w:r>
          </w:hyperlink>
          <w:r>
            <w:fldChar w:fldCharType="begin"/>
          </w:r>
          <w:r>
            <w:instrText xml:space="preserve"> PAGEREF _g8bbheildks1 \h </w:instrText>
          </w:r>
          <w:r>
            <w:fldChar w:fldCharType="separate"/>
          </w:r>
          <w:r>
            <w:rPr>
              <w:b/>
            </w:rPr>
            <w:t>7</w:t>
          </w:r>
          <w:r>
            <w:fldChar w:fldCharType="end"/>
          </w:r>
        </w:p>
        <w:p w14:paraId="011B3B3B" w14:textId="77777777" w:rsidR="00D37B61" w:rsidRDefault="00000000">
          <w:pPr>
            <w:widowControl w:val="0"/>
            <w:tabs>
              <w:tab w:val="right" w:pos="9360"/>
            </w:tabs>
            <w:spacing w:before="60" w:line="240" w:lineRule="auto"/>
            <w:ind w:left="360"/>
            <w:rPr>
              <w:color w:val="000000"/>
            </w:rPr>
          </w:pPr>
          <w:hyperlink w:anchor="_8mpxlj9efxyk">
            <w:r>
              <w:rPr>
                <w:color w:val="000000"/>
              </w:rPr>
              <w:t>Summary</w:t>
            </w:r>
            <w:r>
              <w:rPr>
                <w:color w:val="000000"/>
              </w:rPr>
              <w:tab/>
            </w:r>
          </w:hyperlink>
          <w:r>
            <w:fldChar w:fldCharType="begin"/>
          </w:r>
          <w:r>
            <w:instrText xml:space="preserve"> PAGEREF _8mpxlj9efxyk \h </w:instrText>
          </w:r>
          <w:r>
            <w:fldChar w:fldCharType="separate"/>
          </w:r>
          <w:r>
            <w:t>7</w:t>
          </w:r>
          <w:r>
            <w:fldChar w:fldCharType="end"/>
          </w:r>
        </w:p>
        <w:p w14:paraId="0CBBE6E2" w14:textId="77777777" w:rsidR="00D37B61" w:rsidRDefault="00000000">
          <w:pPr>
            <w:widowControl w:val="0"/>
            <w:tabs>
              <w:tab w:val="right" w:pos="9360"/>
            </w:tabs>
            <w:spacing w:before="60" w:line="240" w:lineRule="auto"/>
            <w:ind w:left="360"/>
            <w:rPr>
              <w:color w:val="000000"/>
            </w:rPr>
          </w:pPr>
          <w:hyperlink w:anchor="_rhz0vbkeoo68">
            <w:r>
              <w:rPr>
                <w:color w:val="000000"/>
              </w:rPr>
              <w:t>Figure Description</w:t>
            </w:r>
            <w:r>
              <w:rPr>
                <w:color w:val="000000"/>
              </w:rPr>
              <w:tab/>
            </w:r>
          </w:hyperlink>
          <w:r>
            <w:fldChar w:fldCharType="begin"/>
          </w:r>
          <w:r>
            <w:instrText xml:space="preserve"> PAGEREF _rhz0vbkeoo68 \h </w:instrText>
          </w:r>
          <w:r>
            <w:fldChar w:fldCharType="separate"/>
          </w:r>
          <w:r>
            <w:t>7</w:t>
          </w:r>
          <w:r>
            <w:fldChar w:fldCharType="end"/>
          </w:r>
        </w:p>
        <w:p w14:paraId="1F95122B" w14:textId="77777777" w:rsidR="00D37B61" w:rsidRDefault="00000000">
          <w:pPr>
            <w:widowControl w:val="0"/>
            <w:tabs>
              <w:tab w:val="right" w:pos="9360"/>
            </w:tabs>
            <w:spacing w:before="60" w:line="240" w:lineRule="auto"/>
            <w:rPr>
              <w:b/>
              <w:color w:val="000000"/>
            </w:rPr>
          </w:pPr>
          <w:hyperlink w:anchor="_wqopetz2dkvf">
            <w:r>
              <w:rPr>
                <w:b/>
                <w:color w:val="000000"/>
              </w:rPr>
              <w:t>Mutational Landscape</w:t>
            </w:r>
            <w:r>
              <w:rPr>
                <w:b/>
                <w:color w:val="000000"/>
              </w:rPr>
              <w:tab/>
            </w:r>
          </w:hyperlink>
          <w:r>
            <w:fldChar w:fldCharType="begin"/>
          </w:r>
          <w:r>
            <w:instrText xml:space="preserve"> PAGEREF _wqopetz2dkvf \h </w:instrText>
          </w:r>
          <w:r>
            <w:fldChar w:fldCharType="separate"/>
          </w:r>
          <w:r>
            <w:rPr>
              <w:b/>
            </w:rPr>
            <w:t>8</w:t>
          </w:r>
          <w:r>
            <w:fldChar w:fldCharType="end"/>
          </w:r>
        </w:p>
        <w:p w14:paraId="34E6C517" w14:textId="77777777" w:rsidR="00D37B61" w:rsidRDefault="00000000">
          <w:pPr>
            <w:widowControl w:val="0"/>
            <w:tabs>
              <w:tab w:val="right" w:pos="9360"/>
            </w:tabs>
            <w:spacing w:before="60" w:line="240" w:lineRule="auto"/>
            <w:ind w:left="360"/>
            <w:rPr>
              <w:color w:val="000000"/>
            </w:rPr>
          </w:pPr>
          <w:hyperlink w:anchor="_rkbnkeoc50no">
            <w:r>
              <w:rPr>
                <w:color w:val="000000"/>
              </w:rPr>
              <w:t>Summary</w:t>
            </w:r>
            <w:r>
              <w:rPr>
                <w:color w:val="000000"/>
              </w:rPr>
              <w:tab/>
            </w:r>
          </w:hyperlink>
          <w:r>
            <w:fldChar w:fldCharType="begin"/>
          </w:r>
          <w:r>
            <w:instrText xml:space="preserve"> PAGEREF _rkbnkeoc50no \h </w:instrText>
          </w:r>
          <w:r>
            <w:fldChar w:fldCharType="separate"/>
          </w:r>
          <w:r>
            <w:t>8</w:t>
          </w:r>
          <w:r>
            <w:fldChar w:fldCharType="end"/>
          </w:r>
        </w:p>
        <w:p w14:paraId="1423CDCD" w14:textId="77777777" w:rsidR="00D37B61" w:rsidRDefault="00000000">
          <w:pPr>
            <w:widowControl w:val="0"/>
            <w:tabs>
              <w:tab w:val="right" w:pos="9360"/>
            </w:tabs>
            <w:spacing w:before="60" w:line="240" w:lineRule="auto"/>
            <w:ind w:left="360"/>
            <w:rPr>
              <w:color w:val="000000"/>
            </w:rPr>
          </w:pPr>
          <w:hyperlink w:anchor="_8jr7czr5eunk">
            <w:r>
              <w:rPr>
                <w:color w:val="000000"/>
              </w:rPr>
              <w:t>Figure Description</w:t>
            </w:r>
            <w:r>
              <w:rPr>
                <w:color w:val="000000"/>
              </w:rPr>
              <w:tab/>
            </w:r>
          </w:hyperlink>
          <w:r>
            <w:fldChar w:fldCharType="begin"/>
          </w:r>
          <w:r>
            <w:instrText xml:space="preserve"> PAGEREF _8jr7czr5eunk \h </w:instrText>
          </w:r>
          <w:r>
            <w:fldChar w:fldCharType="separate"/>
          </w:r>
          <w:r>
            <w:t>8</w:t>
          </w:r>
          <w:r>
            <w:fldChar w:fldCharType="end"/>
          </w:r>
        </w:p>
        <w:p w14:paraId="3C9AE36A" w14:textId="77777777" w:rsidR="00D37B61" w:rsidRDefault="00000000">
          <w:pPr>
            <w:widowControl w:val="0"/>
            <w:tabs>
              <w:tab w:val="right" w:pos="9360"/>
            </w:tabs>
            <w:spacing w:before="60" w:line="240" w:lineRule="auto"/>
            <w:rPr>
              <w:b/>
              <w:color w:val="000000"/>
            </w:rPr>
          </w:pPr>
          <w:hyperlink w:anchor="_a25kgz54ba0d">
            <w:r>
              <w:rPr>
                <w:b/>
                <w:color w:val="000000"/>
              </w:rPr>
              <w:t>Processes Underlying Mutations</w:t>
            </w:r>
            <w:r>
              <w:rPr>
                <w:b/>
                <w:color w:val="000000"/>
              </w:rPr>
              <w:tab/>
            </w:r>
          </w:hyperlink>
          <w:r>
            <w:fldChar w:fldCharType="begin"/>
          </w:r>
          <w:r>
            <w:instrText xml:space="preserve"> PAGEREF _a25kgz54ba0d \h </w:instrText>
          </w:r>
          <w:r>
            <w:fldChar w:fldCharType="separate"/>
          </w:r>
          <w:r>
            <w:rPr>
              <w:b/>
            </w:rPr>
            <w:t>10</w:t>
          </w:r>
          <w:r>
            <w:fldChar w:fldCharType="end"/>
          </w:r>
        </w:p>
        <w:p w14:paraId="1D13229A" w14:textId="77777777" w:rsidR="00D37B61" w:rsidRDefault="00000000">
          <w:pPr>
            <w:widowControl w:val="0"/>
            <w:tabs>
              <w:tab w:val="right" w:pos="9360"/>
            </w:tabs>
            <w:spacing w:before="60" w:line="240" w:lineRule="auto"/>
            <w:ind w:left="360"/>
            <w:rPr>
              <w:color w:val="000000"/>
            </w:rPr>
          </w:pPr>
          <w:hyperlink w:anchor="_e8imf6nr884l">
            <w:r>
              <w:rPr>
                <w:color w:val="000000"/>
              </w:rPr>
              <w:t>Summary</w:t>
            </w:r>
            <w:r>
              <w:rPr>
                <w:color w:val="000000"/>
              </w:rPr>
              <w:tab/>
            </w:r>
          </w:hyperlink>
          <w:r>
            <w:fldChar w:fldCharType="begin"/>
          </w:r>
          <w:r>
            <w:instrText xml:space="preserve"> PAGEREF _e8imf6nr884l \h </w:instrText>
          </w:r>
          <w:r>
            <w:fldChar w:fldCharType="separate"/>
          </w:r>
          <w:r>
            <w:t>10</w:t>
          </w:r>
          <w:r>
            <w:fldChar w:fldCharType="end"/>
          </w:r>
        </w:p>
        <w:p w14:paraId="02233BF3" w14:textId="77777777" w:rsidR="00D37B61" w:rsidRDefault="00000000">
          <w:pPr>
            <w:widowControl w:val="0"/>
            <w:tabs>
              <w:tab w:val="right" w:pos="9360"/>
            </w:tabs>
            <w:spacing w:before="60" w:line="240" w:lineRule="auto"/>
            <w:ind w:left="360"/>
            <w:rPr>
              <w:color w:val="000000"/>
            </w:rPr>
          </w:pPr>
          <w:hyperlink w:anchor="_xlcqa3gmberb">
            <w:r>
              <w:rPr>
                <w:color w:val="000000"/>
              </w:rPr>
              <w:t>Figure Description</w:t>
            </w:r>
            <w:r>
              <w:rPr>
                <w:color w:val="000000"/>
              </w:rPr>
              <w:tab/>
            </w:r>
          </w:hyperlink>
          <w:r>
            <w:fldChar w:fldCharType="begin"/>
          </w:r>
          <w:r>
            <w:instrText xml:space="preserve"> PAGEREF _xlcqa3gmberb \h </w:instrText>
          </w:r>
          <w:r>
            <w:fldChar w:fldCharType="separate"/>
          </w:r>
          <w:r>
            <w:t>10</w:t>
          </w:r>
          <w:r>
            <w:fldChar w:fldCharType="end"/>
          </w:r>
        </w:p>
        <w:p w14:paraId="1CBF9021" w14:textId="77777777" w:rsidR="00D37B61" w:rsidRDefault="00000000">
          <w:pPr>
            <w:widowControl w:val="0"/>
            <w:tabs>
              <w:tab w:val="right" w:pos="9360"/>
            </w:tabs>
            <w:spacing w:before="60" w:line="240" w:lineRule="auto"/>
            <w:rPr>
              <w:b/>
              <w:color w:val="000000"/>
            </w:rPr>
          </w:pPr>
          <w:hyperlink w:anchor="_q06dostvp8e7">
            <w:r>
              <w:rPr>
                <w:b/>
                <w:color w:val="000000"/>
              </w:rPr>
              <w:t>Copy Number Alteration Profile</w:t>
            </w:r>
            <w:r>
              <w:rPr>
                <w:b/>
                <w:color w:val="000000"/>
              </w:rPr>
              <w:tab/>
            </w:r>
          </w:hyperlink>
          <w:r>
            <w:fldChar w:fldCharType="begin"/>
          </w:r>
          <w:r>
            <w:instrText xml:space="preserve"> PAGEREF _q06dostvp8e7 \h </w:instrText>
          </w:r>
          <w:r>
            <w:fldChar w:fldCharType="separate"/>
          </w:r>
          <w:r>
            <w:rPr>
              <w:b/>
            </w:rPr>
            <w:t>11</w:t>
          </w:r>
          <w:r>
            <w:fldChar w:fldCharType="end"/>
          </w:r>
        </w:p>
        <w:p w14:paraId="7C08F3F7" w14:textId="77777777" w:rsidR="00D37B61" w:rsidRDefault="00000000">
          <w:pPr>
            <w:widowControl w:val="0"/>
            <w:tabs>
              <w:tab w:val="right" w:pos="9360"/>
            </w:tabs>
            <w:spacing w:before="60" w:line="240" w:lineRule="auto"/>
            <w:ind w:left="360"/>
            <w:rPr>
              <w:color w:val="000000"/>
            </w:rPr>
          </w:pPr>
          <w:hyperlink w:anchor="_ihj5o8vs2czz">
            <w:r>
              <w:rPr>
                <w:color w:val="000000"/>
              </w:rPr>
              <w:t>Summary</w:t>
            </w:r>
            <w:r>
              <w:rPr>
                <w:color w:val="000000"/>
              </w:rPr>
              <w:tab/>
            </w:r>
          </w:hyperlink>
          <w:r>
            <w:fldChar w:fldCharType="begin"/>
          </w:r>
          <w:r>
            <w:instrText xml:space="preserve"> PAGEREF _ihj5o8vs2czz \h </w:instrText>
          </w:r>
          <w:r>
            <w:fldChar w:fldCharType="separate"/>
          </w:r>
          <w:r>
            <w:t>11</w:t>
          </w:r>
          <w:r>
            <w:fldChar w:fldCharType="end"/>
          </w:r>
        </w:p>
        <w:p w14:paraId="7E84417D" w14:textId="77777777" w:rsidR="00D37B61" w:rsidRDefault="00000000">
          <w:pPr>
            <w:widowControl w:val="0"/>
            <w:tabs>
              <w:tab w:val="right" w:pos="9360"/>
            </w:tabs>
            <w:spacing w:before="60" w:line="240" w:lineRule="auto"/>
            <w:ind w:left="360"/>
            <w:rPr>
              <w:color w:val="000000"/>
            </w:rPr>
          </w:pPr>
          <w:hyperlink w:anchor="_7pih7oalszr1">
            <w:r>
              <w:rPr>
                <w:color w:val="000000"/>
              </w:rPr>
              <w:t>Figure Description</w:t>
            </w:r>
            <w:r>
              <w:rPr>
                <w:color w:val="000000"/>
              </w:rPr>
              <w:tab/>
            </w:r>
          </w:hyperlink>
          <w:r>
            <w:fldChar w:fldCharType="begin"/>
          </w:r>
          <w:r>
            <w:instrText xml:space="preserve"> PAGEREF _7pih7oalszr1 \h </w:instrText>
          </w:r>
          <w:r>
            <w:fldChar w:fldCharType="separate"/>
          </w:r>
          <w:r>
            <w:t>11</w:t>
          </w:r>
          <w:r>
            <w:fldChar w:fldCharType="end"/>
          </w:r>
        </w:p>
        <w:p w14:paraId="32D154DE" w14:textId="77777777" w:rsidR="00D37B61" w:rsidRDefault="00000000">
          <w:pPr>
            <w:widowControl w:val="0"/>
            <w:tabs>
              <w:tab w:val="right" w:pos="9360"/>
            </w:tabs>
            <w:spacing w:before="60" w:line="240" w:lineRule="auto"/>
            <w:rPr>
              <w:b/>
              <w:color w:val="000000"/>
            </w:rPr>
          </w:pPr>
          <w:hyperlink w:anchor="_xwoff9fa6a75">
            <w:r>
              <w:rPr>
                <w:b/>
                <w:color w:val="000000"/>
              </w:rPr>
              <w:t>Cancer Driver Landscape</w:t>
            </w:r>
            <w:r>
              <w:rPr>
                <w:b/>
                <w:color w:val="000000"/>
              </w:rPr>
              <w:tab/>
            </w:r>
          </w:hyperlink>
          <w:r>
            <w:fldChar w:fldCharType="begin"/>
          </w:r>
          <w:r>
            <w:instrText xml:space="preserve"> PAGEREF _xwoff9fa6a75 \h </w:instrText>
          </w:r>
          <w:r>
            <w:fldChar w:fldCharType="separate"/>
          </w:r>
          <w:r>
            <w:rPr>
              <w:b/>
            </w:rPr>
            <w:t>12</w:t>
          </w:r>
          <w:r>
            <w:fldChar w:fldCharType="end"/>
          </w:r>
        </w:p>
        <w:p w14:paraId="23B19740" w14:textId="77777777" w:rsidR="00D37B61" w:rsidRDefault="00000000">
          <w:pPr>
            <w:widowControl w:val="0"/>
            <w:tabs>
              <w:tab w:val="right" w:pos="9360"/>
            </w:tabs>
            <w:spacing w:before="60" w:line="240" w:lineRule="auto"/>
            <w:ind w:left="360"/>
            <w:rPr>
              <w:color w:val="000000"/>
            </w:rPr>
          </w:pPr>
          <w:hyperlink w:anchor="_6dry6saf6woj">
            <w:r>
              <w:rPr>
                <w:color w:val="000000"/>
              </w:rPr>
              <w:t>Summary</w:t>
            </w:r>
            <w:r>
              <w:rPr>
                <w:color w:val="000000"/>
              </w:rPr>
              <w:tab/>
            </w:r>
          </w:hyperlink>
          <w:r>
            <w:fldChar w:fldCharType="begin"/>
          </w:r>
          <w:r>
            <w:instrText xml:space="preserve"> PAGEREF _6dry6saf6woj \h </w:instrText>
          </w:r>
          <w:r>
            <w:fldChar w:fldCharType="separate"/>
          </w:r>
          <w:r>
            <w:t>12</w:t>
          </w:r>
          <w:r>
            <w:fldChar w:fldCharType="end"/>
          </w:r>
        </w:p>
        <w:p w14:paraId="6F043A7A" w14:textId="77777777" w:rsidR="00D37B61" w:rsidRDefault="00000000">
          <w:pPr>
            <w:widowControl w:val="0"/>
            <w:tabs>
              <w:tab w:val="right" w:pos="9360"/>
            </w:tabs>
            <w:spacing w:before="60" w:line="240" w:lineRule="auto"/>
            <w:ind w:left="360"/>
            <w:rPr>
              <w:color w:val="000000"/>
            </w:rPr>
          </w:pPr>
          <w:hyperlink w:anchor="_i28ldjk943ks">
            <w:r>
              <w:rPr>
                <w:color w:val="000000"/>
              </w:rPr>
              <w:t>Figure Description</w:t>
            </w:r>
            <w:r>
              <w:rPr>
                <w:color w:val="000000"/>
              </w:rPr>
              <w:tab/>
            </w:r>
          </w:hyperlink>
          <w:r>
            <w:fldChar w:fldCharType="begin"/>
          </w:r>
          <w:r>
            <w:instrText xml:space="preserve"> PAGEREF _i28ldjk943ks \h </w:instrText>
          </w:r>
          <w:r>
            <w:fldChar w:fldCharType="separate"/>
          </w:r>
          <w:r>
            <w:t>12</w:t>
          </w:r>
          <w:r>
            <w:fldChar w:fldCharType="end"/>
          </w:r>
        </w:p>
        <w:p w14:paraId="10445E6C" w14:textId="77777777" w:rsidR="00D37B61" w:rsidRDefault="00000000">
          <w:pPr>
            <w:widowControl w:val="0"/>
            <w:tabs>
              <w:tab w:val="right" w:pos="9360"/>
            </w:tabs>
            <w:spacing w:before="60" w:line="240" w:lineRule="auto"/>
            <w:rPr>
              <w:b/>
              <w:color w:val="000000"/>
            </w:rPr>
          </w:pPr>
          <w:hyperlink w:anchor="_u7kmplk0w09e">
            <w:r>
              <w:rPr>
                <w:b/>
                <w:color w:val="000000"/>
              </w:rPr>
              <w:t>Potentially Actionable Events</w:t>
            </w:r>
            <w:r>
              <w:rPr>
                <w:b/>
                <w:color w:val="000000"/>
              </w:rPr>
              <w:tab/>
            </w:r>
          </w:hyperlink>
          <w:r>
            <w:fldChar w:fldCharType="begin"/>
          </w:r>
          <w:r>
            <w:instrText xml:space="preserve"> PAGEREF _u7kmplk0w09e \h </w:instrText>
          </w:r>
          <w:r>
            <w:fldChar w:fldCharType="separate"/>
          </w:r>
          <w:r>
            <w:rPr>
              <w:b/>
            </w:rPr>
            <w:t>14</w:t>
          </w:r>
          <w:r>
            <w:fldChar w:fldCharType="end"/>
          </w:r>
        </w:p>
        <w:p w14:paraId="29E711B4" w14:textId="77777777" w:rsidR="00D37B61" w:rsidRDefault="00000000">
          <w:pPr>
            <w:widowControl w:val="0"/>
            <w:tabs>
              <w:tab w:val="right" w:pos="9360"/>
            </w:tabs>
            <w:spacing w:before="60" w:line="240" w:lineRule="auto"/>
            <w:ind w:left="360"/>
            <w:rPr>
              <w:color w:val="000000"/>
            </w:rPr>
          </w:pPr>
          <w:hyperlink w:anchor="_e0tmip2bik4n">
            <w:r>
              <w:rPr>
                <w:color w:val="000000"/>
              </w:rPr>
              <w:t>Summary</w:t>
            </w:r>
            <w:r>
              <w:rPr>
                <w:color w:val="000000"/>
              </w:rPr>
              <w:tab/>
            </w:r>
          </w:hyperlink>
          <w:r>
            <w:fldChar w:fldCharType="begin"/>
          </w:r>
          <w:r>
            <w:instrText xml:space="preserve"> PAGEREF _e0tmip2bik4n \h </w:instrText>
          </w:r>
          <w:r>
            <w:fldChar w:fldCharType="separate"/>
          </w:r>
          <w:r>
            <w:t>14</w:t>
          </w:r>
          <w:r>
            <w:fldChar w:fldCharType="end"/>
          </w:r>
        </w:p>
        <w:p w14:paraId="209EF046" w14:textId="77777777" w:rsidR="00D37B61" w:rsidRDefault="00000000">
          <w:pPr>
            <w:widowControl w:val="0"/>
            <w:tabs>
              <w:tab w:val="right" w:pos="9360"/>
            </w:tabs>
            <w:spacing w:before="60" w:line="240" w:lineRule="auto"/>
            <w:ind w:left="360"/>
            <w:rPr>
              <w:color w:val="000000"/>
            </w:rPr>
          </w:pPr>
          <w:hyperlink w:anchor="_vimchnb8x2ce">
            <w:r>
              <w:rPr>
                <w:color w:val="000000"/>
              </w:rPr>
              <w:t>Figure Description</w:t>
            </w:r>
            <w:r>
              <w:rPr>
                <w:color w:val="000000"/>
              </w:rPr>
              <w:tab/>
            </w:r>
          </w:hyperlink>
          <w:r>
            <w:fldChar w:fldCharType="begin"/>
          </w:r>
          <w:r>
            <w:instrText xml:space="preserve"> PAGEREF _vimchnb8x2ce \h </w:instrText>
          </w:r>
          <w:r>
            <w:fldChar w:fldCharType="separate"/>
          </w:r>
          <w:r>
            <w:t>15</w:t>
          </w:r>
          <w:r>
            <w:fldChar w:fldCharType="end"/>
          </w:r>
        </w:p>
        <w:p w14:paraId="0C7464A8" w14:textId="77777777" w:rsidR="00D37B61" w:rsidRDefault="00000000">
          <w:pPr>
            <w:widowControl w:val="0"/>
            <w:tabs>
              <w:tab w:val="right" w:pos="9360"/>
            </w:tabs>
            <w:spacing w:before="60" w:line="240" w:lineRule="auto"/>
            <w:rPr>
              <w:b/>
              <w:color w:val="000000"/>
            </w:rPr>
          </w:pPr>
          <w:hyperlink w:anchor="_dbg3athvqybh">
            <w:r>
              <w:rPr>
                <w:b/>
                <w:color w:val="000000"/>
              </w:rPr>
              <w:t>Germline Predisposition</w:t>
            </w:r>
            <w:r>
              <w:rPr>
                <w:b/>
                <w:color w:val="000000"/>
              </w:rPr>
              <w:tab/>
            </w:r>
          </w:hyperlink>
          <w:r>
            <w:fldChar w:fldCharType="begin"/>
          </w:r>
          <w:r>
            <w:instrText xml:space="preserve"> PAGEREF _dbg3athvqybh \h </w:instrText>
          </w:r>
          <w:r>
            <w:fldChar w:fldCharType="separate"/>
          </w:r>
          <w:r>
            <w:rPr>
              <w:b/>
            </w:rPr>
            <w:t>16</w:t>
          </w:r>
          <w:r>
            <w:fldChar w:fldCharType="end"/>
          </w:r>
        </w:p>
        <w:p w14:paraId="68462F7C" w14:textId="77777777" w:rsidR="00D37B61" w:rsidRDefault="00000000">
          <w:pPr>
            <w:widowControl w:val="0"/>
            <w:tabs>
              <w:tab w:val="right" w:pos="9360"/>
            </w:tabs>
            <w:spacing w:before="60" w:line="240" w:lineRule="auto"/>
            <w:ind w:left="360"/>
            <w:rPr>
              <w:color w:val="000000"/>
            </w:rPr>
          </w:pPr>
          <w:hyperlink w:anchor="_dvngxoogdlrr">
            <w:r>
              <w:rPr>
                <w:color w:val="000000"/>
              </w:rPr>
              <w:t>Summary</w:t>
            </w:r>
            <w:r>
              <w:rPr>
                <w:color w:val="000000"/>
              </w:rPr>
              <w:tab/>
            </w:r>
          </w:hyperlink>
          <w:r>
            <w:fldChar w:fldCharType="begin"/>
          </w:r>
          <w:r>
            <w:instrText xml:space="preserve"> PAGEREF _dvngxoogdlrr \h </w:instrText>
          </w:r>
          <w:r>
            <w:fldChar w:fldCharType="separate"/>
          </w:r>
          <w:r>
            <w:t>16</w:t>
          </w:r>
          <w:r>
            <w:fldChar w:fldCharType="end"/>
          </w:r>
        </w:p>
        <w:p w14:paraId="67989990" w14:textId="77777777" w:rsidR="00D37B61" w:rsidRDefault="00000000">
          <w:pPr>
            <w:widowControl w:val="0"/>
            <w:tabs>
              <w:tab w:val="right" w:pos="9360"/>
            </w:tabs>
            <w:spacing w:before="60" w:line="240" w:lineRule="auto"/>
            <w:ind w:left="360"/>
            <w:rPr>
              <w:color w:val="000000"/>
            </w:rPr>
          </w:pPr>
          <w:hyperlink w:anchor="_4d1mff67ermg">
            <w:r>
              <w:rPr>
                <w:color w:val="000000"/>
              </w:rPr>
              <w:t>Figure Description</w:t>
            </w:r>
            <w:r>
              <w:rPr>
                <w:color w:val="000000"/>
              </w:rPr>
              <w:tab/>
            </w:r>
          </w:hyperlink>
          <w:r>
            <w:fldChar w:fldCharType="begin"/>
          </w:r>
          <w:r>
            <w:instrText xml:space="preserve"> PAGEREF _4d1mff67ermg \h </w:instrText>
          </w:r>
          <w:r>
            <w:fldChar w:fldCharType="separate"/>
          </w:r>
          <w:r>
            <w:t>16</w:t>
          </w:r>
          <w:r>
            <w:fldChar w:fldCharType="end"/>
          </w:r>
        </w:p>
        <w:p w14:paraId="64480A45" w14:textId="77777777" w:rsidR="00D37B61" w:rsidRDefault="00000000">
          <w:pPr>
            <w:widowControl w:val="0"/>
            <w:tabs>
              <w:tab w:val="right" w:pos="9360"/>
            </w:tabs>
            <w:spacing w:before="60" w:line="240" w:lineRule="auto"/>
            <w:rPr>
              <w:b/>
              <w:color w:val="000000"/>
            </w:rPr>
          </w:pPr>
          <w:hyperlink w:anchor="_n39ea47ffpr2">
            <w:r>
              <w:rPr>
                <w:b/>
                <w:color w:val="000000"/>
              </w:rPr>
              <w:t>WGS vs Panel Coverage</w:t>
            </w:r>
            <w:r>
              <w:rPr>
                <w:b/>
                <w:color w:val="000000"/>
              </w:rPr>
              <w:tab/>
            </w:r>
          </w:hyperlink>
          <w:r>
            <w:fldChar w:fldCharType="begin"/>
          </w:r>
          <w:r>
            <w:instrText xml:space="preserve"> PAGEREF _n39ea47ffpr2 \h </w:instrText>
          </w:r>
          <w:r>
            <w:fldChar w:fldCharType="separate"/>
          </w:r>
          <w:r>
            <w:rPr>
              <w:b/>
            </w:rPr>
            <w:t>17</w:t>
          </w:r>
          <w:r>
            <w:fldChar w:fldCharType="end"/>
          </w:r>
        </w:p>
        <w:p w14:paraId="3ABED48E" w14:textId="77777777" w:rsidR="00D37B61" w:rsidRDefault="00000000">
          <w:pPr>
            <w:widowControl w:val="0"/>
            <w:tabs>
              <w:tab w:val="right" w:pos="9360"/>
            </w:tabs>
            <w:spacing w:before="60" w:line="240" w:lineRule="auto"/>
            <w:ind w:left="360"/>
            <w:rPr>
              <w:color w:val="000000"/>
            </w:rPr>
          </w:pPr>
          <w:hyperlink w:anchor="_o4tnca9i93l3">
            <w:r>
              <w:rPr>
                <w:color w:val="000000"/>
              </w:rPr>
              <w:t>Summary</w:t>
            </w:r>
            <w:r>
              <w:rPr>
                <w:color w:val="000000"/>
              </w:rPr>
              <w:tab/>
            </w:r>
          </w:hyperlink>
          <w:r>
            <w:fldChar w:fldCharType="begin"/>
          </w:r>
          <w:r>
            <w:instrText xml:space="preserve"> PAGEREF _o4tnca9i93l3 \h </w:instrText>
          </w:r>
          <w:r>
            <w:fldChar w:fldCharType="separate"/>
          </w:r>
          <w:r>
            <w:t>17</w:t>
          </w:r>
          <w:r>
            <w:fldChar w:fldCharType="end"/>
          </w:r>
        </w:p>
        <w:p w14:paraId="45ED1D1C" w14:textId="77777777" w:rsidR="00D37B61" w:rsidRDefault="00000000">
          <w:pPr>
            <w:widowControl w:val="0"/>
            <w:tabs>
              <w:tab w:val="right" w:pos="9360"/>
            </w:tabs>
            <w:spacing w:before="60" w:line="240" w:lineRule="auto"/>
            <w:ind w:left="360"/>
            <w:rPr>
              <w:color w:val="000000"/>
            </w:rPr>
          </w:pPr>
          <w:hyperlink w:anchor="_pmkqosnssy85">
            <w:r>
              <w:rPr>
                <w:color w:val="000000"/>
              </w:rPr>
              <w:t>Figure Description</w:t>
            </w:r>
            <w:r>
              <w:rPr>
                <w:color w:val="000000"/>
              </w:rPr>
              <w:tab/>
            </w:r>
          </w:hyperlink>
          <w:r>
            <w:fldChar w:fldCharType="begin"/>
          </w:r>
          <w:r>
            <w:instrText xml:space="preserve"> PAGEREF _pmkqosnssy85 \h </w:instrText>
          </w:r>
          <w:r>
            <w:fldChar w:fldCharType="separate"/>
          </w:r>
          <w:r>
            <w:t>18</w:t>
          </w:r>
          <w:r>
            <w:fldChar w:fldCharType="end"/>
          </w:r>
        </w:p>
        <w:p w14:paraId="348286A0" w14:textId="77777777" w:rsidR="00D37B61" w:rsidRDefault="00000000">
          <w:pPr>
            <w:widowControl w:val="0"/>
            <w:tabs>
              <w:tab w:val="right" w:pos="9360"/>
            </w:tabs>
            <w:spacing w:before="60" w:line="240" w:lineRule="auto"/>
            <w:rPr>
              <w:b/>
              <w:color w:val="000000"/>
            </w:rPr>
          </w:pPr>
          <w:hyperlink w:anchor="_anqavsx3rjc4">
            <w:r>
              <w:rPr>
                <w:b/>
                <w:color w:val="000000"/>
              </w:rPr>
              <w:t>Citations</w:t>
            </w:r>
            <w:r>
              <w:rPr>
                <w:b/>
                <w:color w:val="000000"/>
              </w:rPr>
              <w:tab/>
            </w:r>
          </w:hyperlink>
          <w:r>
            <w:fldChar w:fldCharType="begin"/>
          </w:r>
          <w:r>
            <w:instrText xml:space="preserve"> PAGEREF _anqavsx3rjc4 \h </w:instrText>
          </w:r>
          <w:r>
            <w:fldChar w:fldCharType="separate"/>
          </w:r>
          <w:r>
            <w:rPr>
              <w:b/>
            </w:rPr>
            <w:t>19</w:t>
          </w:r>
          <w:r>
            <w:fldChar w:fldCharType="end"/>
          </w:r>
          <w:r>
            <w:fldChar w:fldCharType="end"/>
          </w:r>
        </w:p>
      </w:sdtContent>
    </w:sdt>
    <w:p w14:paraId="0E737E98" w14:textId="77777777" w:rsidR="00D37B61" w:rsidRDefault="00D37B61">
      <w:pPr>
        <w:spacing w:after="100" w:line="240" w:lineRule="auto"/>
        <w:jc w:val="both"/>
        <w:rPr>
          <w:color w:val="467886"/>
          <w:sz w:val="28"/>
          <w:szCs w:val="28"/>
        </w:rPr>
      </w:pPr>
    </w:p>
    <w:p w14:paraId="7FCC5838" w14:textId="77777777" w:rsidR="00D37B61" w:rsidRDefault="00D37B61">
      <w:pPr>
        <w:spacing w:after="100" w:line="240" w:lineRule="auto"/>
        <w:jc w:val="both"/>
        <w:rPr>
          <w:color w:val="467886"/>
          <w:sz w:val="28"/>
          <w:szCs w:val="28"/>
        </w:rPr>
      </w:pPr>
    </w:p>
    <w:p w14:paraId="5D6155BA" w14:textId="77777777" w:rsidR="00D37B61" w:rsidRDefault="00000000">
      <w:pPr>
        <w:pStyle w:val="Heading2"/>
        <w:spacing w:after="100" w:line="240" w:lineRule="auto"/>
        <w:jc w:val="both"/>
      </w:pPr>
      <w:bookmarkStart w:id="0" w:name="_udkioui1l9gz" w:colFirst="0" w:colLast="0"/>
      <w:bookmarkEnd w:id="0"/>
      <w:r>
        <w:lastRenderedPageBreak/>
        <w:t xml:space="preserve">Summary </w:t>
      </w:r>
    </w:p>
    <w:p w14:paraId="7A22A44C" w14:textId="77777777" w:rsidR="00D37B61" w:rsidRDefault="00000000">
      <w:pPr>
        <w:spacing w:after="160" w:line="240" w:lineRule="auto"/>
        <w:ind w:firstLine="720"/>
        <w:jc w:val="both"/>
      </w:pPr>
      <w:r>
        <w:t xml:space="preserve">This document describes in detail the figures shown in the cancer vignettes. While we share many vignettes across different cancer cohorts, each uses the same underlying data from the Hartwig Medical Foundation database. Links to the Hartwig Medical Foundation database, tools, and data request guide are found here: </w:t>
      </w:r>
    </w:p>
    <w:p w14:paraId="1E05EEBF" w14:textId="77777777" w:rsidR="00D37B61" w:rsidRDefault="00000000">
      <w:pPr>
        <w:numPr>
          <w:ilvl w:val="0"/>
          <w:numId w:val="11"/>
        </w:numPr>
        <w:spacing w:line="240" w:lineRule="auto"/>
        <w:jc w:val="both"/>
      </w:pPr>
      <w:hyperlink r:id="rId7">
        <w:r>
          <w:rPr>
            <w:color w:val="1155CC"/>
            <w:u w:val="single"/>
          </w:rPr>
          <w:t>Hartwig database description</w:t>
        </w:r>
      </w:hyperlink>
    </w:p>
    <w:p w14:paraId="64A4E7E1" w14:textId="77777777" w:rsidR="00D37B61" w:rsidRDefault="00000000">
      <w:pPr>
        <w:numPr>
          <w:ilvl w:val="0"/>
          <w:numId w:val="11"/>
        </w:numPr>
        <w:spacing w:line="240" w:lineRule="auto"/>
        <w:jc w:val="both"/>
      </w:pPr>
      <w:hyperlink r:id="rId8">
        <w:r>
          <w:rPr>
            <w:color w:val="1155CC"/>
            <w:u w:val="single"/>
          </w:rPr>
          <w:t>Overview of all Hartwig tools</w:t>
        </w:r>
      </w:hyperlink>
    </w:p>
    <w:p w14:paraId="2560A26B" w14:textId="77777777" w:rsidR="00D37B61" w:rsidRDefault="00000000">
      <w:pPr>
        <w:numPr>
          <w:ilvl w:val="0"/>
          <w:numId w:val="11"/>
        </w:numPr>
        <w:spacing w:line="240" w:lineRule="auto"/>
        <w:jc w:val="both"/>
      </w:pPr>
      <w:hyperlink r:id="rId9">
        <w:r>
          <w:rPr>
            <w:color w:val="1155CC"/>
            <w:u w:val="single"/>
          </w:rPr>
          <w:t>Data request access guide</w:t>
        </w:r>
      </w:hyperlink>
      <w:r>
        <w:t xml:space="preserve"> </w:t>
      </w:r>
    </w:p>
    <w:p w14:paraId="0743AA22" w14:textId="77777777" w:rsidR="00D37B61" w:rsidRDefault="00D37B61">
      <w:pPr>
        <w:spacing w:line="240" w:lineRule="auto"/>
        <w:jc w:val="both"/>
      </w:pPr>
    </w:p>
    <w:p w14:paraId="49E283DD" w14:textId="77777777" w:rsidR="00D37B61" w:rsidRDefault="00000000">
      <w:pPr>
        <w:spacing w:line="240" w:lineRule="auto"/>
        <w:jc w:val="both"/>
      </w:pPr>
      <w:r>
        <w:t xml:space="preserve">It should be emphasized that the vignettes are not created to support any clinical diagnosis nor to draw solid scientific conclusions. The goal is to share the rich whole genome sequencing (WGS) data available in the Hartwig database and to inspire researchers and clinicians to take a deeper dive into potentially interesting aspects that become visible in these vignettes. </w:t>
      </w:r>
    </w:p>
    <w:p w14:paraId="11E980E4" w14:textId="77777777" w:rsidR="00D37B61" w:rsidRDefault="00000000">
      <w:pPr>
        <w:spacing w:line="240" w:lineRule="auto"/>
        <w:ind w:firstLine="720"/>
        <w:jc w:val="both"/>
      </w:pPr>
      <w:r>
        <w:t xml:space="preserve">The vignettes will be updated periodically, and many cohorts contain a mixture of disease ontologies. The date of the creation and included disease ontology identifies (DOIDs) in each cohort are shared in the bottom middle of each vignette. </w:t>
      </w:r>
    </w:p>
    <w:p w14:paraId="460268DE" w14:textId="77777777" w:rsidR="00D37B61" w:rsidRDefault="00000000">
      <w:pPr>
        <w:pStyle w:val="Heading3"/>
        <w:spacing w:before="160" w:line="240" w:lineRule="auto"/>
        <w:jc w:val="both"/>
      </w:pPr>
      <w:bookmarkStart w:id="1" w:name="_2qihtbrypbua" w:colFirst="0" w:colLast="0"/>
      <w:bookmarkEnd w:id="1"/>
      <w:r>
        <w:br w:type="page"/>
      </w:r>
    </w:p>
    <w:p w14:paraId="657DF5C5" w14:textId="77777777" w:rsidR="00D37B61" w:rsidRDefault="00000000">
      <w:pPr>
        <w:pStyle w:val="Heading3"/>
        <w:spacing w:before="160" w:line="240" w:lineRule="auto"/>
        <w:jc w:val="both"/>
      </w:pPr>
      <w:bookmarkStart w:id="2" w:name="_18v74meczzru" w:colFirst="0" w:colLast="0"/>
      <w:bookmarkEnd w:id="2"/>
      <w:r>
        <w:lastRenderedPageBreak/>
        <w:t xml:space="preserve">Cancer Vignette Example </w:t>
      </w:r>
    </w:p>
    <w:p w14:paraId="2C4A80B3" w14:textId="77777777" w:rsidR="00D37B61" w:rsidRDefault="00000000">
      <w:pPr>
        <w:spacing w:after="160" w:line="240" w:lineRule="auto"/>
        <w:ind w:firstLine="720"/>
        <w:jc w:val="both"/>
      </w:pPr>
      <w:r>
        <w:t xml:space="preserve">Below shows an example of the vignette for Non-Small Cell Lung Carcinoma (NSCLC). The vignette is organized into 10 panels – Cohort Metadata, Tumor Characteristics, Mutational Landscape, Processes Underlying Mutations, Schematic figure, Copy Number Alteration Profile, Cancer Driver Landscape, Potential Actionable events, Germline Predisposition, and WGS vs Panel Coverage. </w:t>
      </w:r>
    </w:p>
    <w:p w14:paraId="41382FB7" w14:textId="77777777" w:rsidR="00D37B61" w:rsidRDefault="00000000">
      <w:pPr>
        <w:spacing w:after="160" w:line="240" w:lineRule="auto"/>
        <w:jc w:val="both"/>
      </w:pPr>
      <w:r>
        <w:rPr>
          <w:noProof/>
        </w:rPr>
        <w:drawing>
          <wp:inline distT="114300" distB="114300" distL="114300" distR="114300" wp14:anchorId="5E19CD40" wp14:editId="1EE4078A">
            <wp:extent cx="5943600" cy="37338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3733800"/>
                    </a:xfrm>
                    <a:prstGeom prst="rect">
                      <a:avLst/>
                    </a:prstGeom>
                    <a:ln/>
                  </pic:spPr>
                </pic:pic>
              </a:graphicData>
            </a:graphic>
          </wp:inline>
        </w:drawing>
      </w:r>
    </w:p>
    <w:p w14:paraId="238B4D68" w14:textId="77777777" w:rsidR="00D37B61" w:rsidRDefault="00000000">
      <w:pPr>
        <w:spacing w:after="160" w:line="240" w:lineRule="auto"/>
        <w:jc w:val="both"/>
      </w:pPr>
      <w:r>
        <w:t xml:space="preserve">In the following sections we describe each figure present within these 10 panels.  </w:t>
      </w:r>
    </w:p>
    <w:p w14:paraId="32256506" w14:textId="77777777" w:rsidR="00D37B61" w:rsidRDefault="00D37B61">
      <w:pPr>
        <w:pStyle w:val="Heading2"/>
        <w:spacing w:after="160" w:line="240" w:lineRule="auto"/>
        <w:jc w:val="both"/>
      </w:pPr>
      <w:bookmarkStart w:id="3" w:name="_p45jabow8x90" w:colFirst="0" w:colLast="0"/>
      <w:bookmarkEnd w:id="3"/>
    </w:p>
    <w:p w14:paraId="5FA173A4" w14:textId="77777777" w:rsidR="00D37B61" w:rsidRDefault="00D37B61">
      <w:pPr>
        <w:pStyle w:val="Heading2"/>
        <w:spacing w:after="160" w:line="240" w:lineRule="auto"/>
        <w:jc w:val="both"/>
      </w:pPr>
      <w:bookmarkStart w:id="4" w:name="_t262tiy7wjc7" w:colFirst="0" w:colLast="0"/>
      <w:bookmarkEnd w:id="4"/>
    </w:p>
    <w:p w14:paraId="4FDE39F6" w14:textId="77777777" w:rsidR="00D37B61" w:rsidRDefault="00000000">
      <w:pPr>
        <w:pStyle w:val="Heading2"/>
        <w:spacing w:after="160" w:line="240" w:lineRule="auto"/>
        <w:jc w:val="both"/>
      </w:pPr>
      <w:bookmarkStart w:id="5" w:name="_zfsdqsig6y9x" w:colFirst="0" w:colLast="0"/>
      <w:bookmarkEnd w:id="5"/>
      <w:r>
        <w:br w:type="page"/>
      </w:r>
    </w:p>
    <w:p w14:paraId="1B6274FA" w14:textId="77777777" w:rsidR="00D37B61" w:rsidRDefault="00000000">
      <w:pPr>
        <w:pStyle w:val="Heading2"/>
        <w:spacing w:after="160" w:line="240" w:lineRule="auto"/>
        <w:jc w:val="both"/>
      </w:pPr>
      <w:bookmarkStart w:id="6" w:name="_isxzbojdnfjk" w:colFirst="0" w:colLast="0"/>
      <w:bookmarkEnd w:id="6"/>
      <w:r>
        <w:lastRenderedPageBreak/>
        <w:t>Overall Schematic</w:t>
      </w:r>
    </w:p>
    <w:p w14:paraId="2B2E4FCC" w14:textId="77777777" w:rsidR="00D37B61" w:rsidRDefault="00000000">
      <w:pPr>
        <w:pStyle w:val="Heading3"/>
        <w:spacing w:line="240" w:lineRule="auto"/>
        <w:jc w:val="both"/>
      </w:pPr>
      <w:bookmarkStart w:id="7" w:name="_victaslz5pbw" w:colFirst="0" w:colLast="0"/>
      <w:bookmarkEnd w:id="7"/>
      <w:r>
        <w:t>Summary</w:t>
      </w:r>
    </w:p>
    <w:p w14:paraId="2AB808B2" w14:textId="77777777" w:rsidR="00D37B61" w:rsidRDefault="00000000">
      <w:pPr>
        <w:spacing w:line="240" w:lineRule="auto"/>
        <w:ind w:firstLine="720"/>
        <w:jc w:val="both"/>
      </w:pPr>
      <w:r>
        <w:t xml:space="preserve">The schematic shows the primary tumor location of the metastatic tumor. The labels indicate the number of patients with WGS that passed the quality control filters in the specific cancer cohort and Pan-Cancer. Some patients had multiple WGS tumor samples in the database, for these patients we only included the sample with the highest tumor purity. </w:t>
      </w:r>
    </w:p>
    <w:p w14:paraId="7132685B" w14:textId="77777777" w:rsidR="00D37B61" w:rsidRDefault="00000000">
      <w:pPr>
        <w:pStyle w:val="Heading2"/>
        <w:spacing w:line="240" w:lineRule="auto"/>
        <w:ind w:firstLine="720"/>
        <w:jc w:val="center"/>
      </w:pPr>
      <w:bookmarkStart w:id="8" w:name="_8xywswftvz0" w:colFirst="0" w:colLast="0"/>
      <w:bookmarkEnd w:id="8"/>
      <w:r>
        <w:rPr>
          <w:noProof/>
        </w:rPr>
        <w:drawing>
          <wp:inline distT="114300" distB="114300" distL="114300" distR="114300" wp14:anchorId="2D01F334" wp14:editId="3EDBE2F7">
            <wp:extent cx="3324754" cy="347903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324754" cy="3479035"/>
                    </a:xfrm>
                    <a:prstGeom prst="rect">
                      <a:avLst/>
                    </a:prstGeom>
                    <a:ln/>
                  </pic:spPr>
                </pic:pic>
              </a:graphicData>
            </a:graphic>
          </wp:inline>
        </w:drawing>
      </w:r>
    </w:p>
    <w:p w14:paraId="35DA6724" w14:textId="77777777" w:rsidR="00D37B61" w:rsidRDefault="00000000">
      <w:pPr>
        <w:pStyle w:val="Heading3"/>
        <w:spacing w:line="240" w:lineRule="auto"/>
        <w:jc w:val="both"/>
      </w:pPr>
      <w:bookmarkStart w:id="9" w:name="_31d23echm096" w:colFirst="0" w:colLast="0"/>
      <w:bookmarkEnd w:id="9"/>
      <w:r>
        <w:t>Time and Date Stamp</w:t>
      </w:r>
    </w:p>
    <w:p w14:paraId="16B3A221" w14:textId="77777777" w:rsidR="00D37B61" w:rsidRDefault="00000000">
      <w:pPr>
        <w:spacing w:line="240" w:lineRule="auto"/>
        <w:ind w:firstLine="720"/>
        <w:jc w:val="both"/>
      </w:pPr>
      <w:r>
        <w:t xml:space="preserve">The creation date and the disease ontology identifiers (DOIDs) of patients included in the specific cancer cohort are included in the bottom middle of each vignette. </w:t>
      </w:r>
    </w:p>
    <w:p w14:paraId="045F7B7F" w14:textId="77777777" w:rsidR="00D37B61" w:rsidRDefault="00D37B61">
      <w:pPr>
        <w:spacing w:line="240" w:lineRule="auto"/>
        <w:jc w:val="both"/>
      </w:pPr>
    </w:p>
    <w:p w14:paraId="5E1170C1" w14:textId="77777777" w:rsidR="00D37B61" w:rsidRDefault="00000000">
      <w:pPr>
        <w:spacing w:line="240" w:lineRule="auto"/>
        <w:jc w:val="center"/>
      </w:pPr>
      <w:r>
        <w:t xml:space="preserve"> </w:t>
      </w:r>
      <w:r>
        <w:rPr>
          <w:noProof/>
          <w:sz w:val="32"/>
          <w:szCs w:val="32"/>
        </w:rPr>
        <w:drawing>
          <wp:inline distT="114300" distB="114300" distL="114300" distR="114300" wp14:anchorId="149EE5BD" wp14:editId="2EE04C7E">
            <wp:extent cx="2724150" cy="3429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724150" cy="342900"/>
                    </a:xfrm>
                    <a:prstGeom prst="rect">
                      <a:avLst/>
                    </a:prstGeom>
                    <a:ln/>
                  </pic:spPr>
                </pic:pic>
              </a:graphicData>
            </a:graphic>
          </wp:inline>
        </w:drawing>
      </w:r>
    </w:p>
    <w:p w14:paraId="5E1F901A" w14:textId="77777777" w:rsidR="00D37B61" w:rsidRDefault="00D37B61">
      <w:pPr>
        <w:pStyle w:val="Heading2"/>
        <w:spacing w:after="160" w:line="240" w:lineRule="auto"/>
        <w:jc w:val="center"/>
      </w:pPr>
      <w:bookmarkStart w:id="10" w:name="_jun0wv9vt84p" w:colFirst="0" w:colLast="0"/>
      <w:bookmarkEnd w:id="10"/>
    </w:p>
    <w:p w14:paraId="7BE8162D" w14:textId="77777777" w:rsidR="00D37B61" w:rsidRDefault="00000000">
      <w:pPr>
        <w:pStyle w:val="Heading2"/>
        <w:spacing w:after="160" w:line="240" w:lineRule="auto"/>
        <w:jc w:val="both"/>
      </w:pPr>
      <w:bookmarkStart w:id="11" w:name="_yfwnbotxyek" w:colFirst="0" w:colLast="0"/>
      <w:bookmarkEnd w:id="11"/>
      <w:r>
        <w:br w:type="page"/>
      </w:r>
    </w:p>
    <w:p w14:paraId="11A7A94C" w14:textId="77777777" w:rsidR="00D37B61" w:rsidRDefault="00000000">
      <w:pPr>
        <w:pStyle w:val="Heading2"/>
        <w:spacing w:after="160" w:line="240" w:lineRule="auto"/>
        <w:jc w:val="both"/>
      </w:pPr>
      <w:bookmarkStart w:id="12" w:name="_77gx6hzfvvtc" w:colFirst="0" w:colLast="0"/>
      <w:bookmarkEnd w:id="12"/>
      <w:r>
        <w:lastRenderedPageBreak/>
        <w:t xml:space="preserve">Cohort Metadata </w:t>
      </w:r>
    </w:p>
    <w:p w14:paraId="68168021" w14:textId="77777777" w:rsidR="00D37B61" w:rsidRDefault="00000000">
      <w:pPr>
        <w:pStyle w:val="Heading3"/>
        <w:spacing w:before="160" w:line="240" w:lineRule="auto"/>
        <w:jc w:val="both"/>
      </w:pPr>
      <w:bookmarkStart w:id="13" w:name="_76citdlue1by" w:colFirst="0" w:colLast="0"/>
      <w:bookmarkEnd w:id="13"/>
      <w:r>
        <w:t xml:space="preserve">Summary </w:t>
      </w:r>
    </w:p>
    <w:p w14:paraId="423E62AE" w14:textId="77777777" w:rsidR="00D37B61" w:rsidRDefault="00000000">
      <w:pPr>
        <w:spacing w:after="160" w:line="240" w:lineRule="auto"/>
        <w:ind w:firstLine="720"/>
        <w:jc w:val="both"/>
      </w:pPr>
      <w:r>
        <w:t xml:space="preserve">The Cohort Metadata panel summarizes the available clinical metadata for each cohort. The data summarized is available upon data request. For each patient in the Hartwig database tumor-normal whole genome sequencing (WGS) </w:t>
      </w:r>
      <w:hyperlink r:id="rId13">
        <w:r>
          <w:rPr>
            <w:color w:val="000000"/>
          </w:rPr>
          <w:t>(</w:t>
        </w:r>
        <w:proofErr w:type="spellStart"/>
        <w:r>
          <w:rPr>
            <w:color w:val="000000"/>
          </w:rPr>
          <w:t>Roepman</w:t>
        </w:r>
        <w:proofErr w:type="spellEnd"/>
        <w:r>
          <w:rPr>
            <w:color w:val="000000"/>
          </w:rPr>
          <w:t xml:space="preserve"> et al. 2021)</w:t>
        </w:r>
      </w:hyperlink>
      <w:r>
        <w:t xml:space="preserve"> has been performed on the tumor samples, and the subsequent WGS output is used to create figures throughout the vignette. In addition to WGS, for a subset of patients in the Hartwig database there is clinical information and bulk RNA tumor expression data available (</w:t>
      </w:r>
      <w:proofErr w:type="spellStart"/>
      <w:r>
        <w:t>RNASeq</w:t>
      </w:r>
      <w:proofErr w:type="spellEnd"/>
      <w:r>
        <w:t xml:space="preserve">). </w:t>
      </w:r>
    </w:p>
    <w:p w14:paraId="6E5C8E3E" w14:textId="77777777" w:rsidR="00D37B61" w:rsidRDefault="00000000">
      <w:pPr>
        <w:spacing w:after="160" w:line="240" w:lineRule="auto"/>
        <w:jc w:val="center"/>
      </w:pPr>
      <w:r>
        <w:rPr>
          <w:noProof/>
        </w:rPr>
        <w:drawing>
          <wp:inline distT="114300" distB="114300" distL="114300" distR="114300" wp14:anchorId="6DE34687" wp14:editId="43159132">
            <wp:extent cx="4568825" cy="1845102"/>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568825" cy="1845102"/>
                    </a:xfrm>
                    <a:prstGeom prst="rect">
                      <a:avLst/>
                    </a:prstGeom>
                    <a:ln/>
                  </pic:spPr>
                </pic:pic>
              </a:graphicData>
            </a:graphic>
          </wp:inline>
        </w:drawing>
      </w:r>
    </w:p>
    <w:p w14:paraId="6FC9C2FA" w14:textId="77777777" w:rsidR="00D37B61" w:rsidRDefault="00000000">
      <w:pPr>
        <w:pStyle w:val="Heading3"/>
        <w:spacing w:after="160" w:line="240" w:lineRule="auto"/>
        <w:jc w:val="both"/>
      </w:pPr>
      <w:bookmarkStart w:id="14" w:name="_3zm8ij1cfka7" w:colFirst="0" w:colLast="0"/>
      <w:bookmarkEnd w:id="14"/>
      <w:r>
        <w:t xml:space="preserve">Figure Description </w:t>
      </w:r>
    </w:p>
    <w:p w14:paraId="2A49E496" w14:textId="77777777" w:rsidR="00D37B61" w:rsidRDefault="00000000">
      <w:pPr>
        <w:spacing w:after="160" w:line="240" w:lineRule="auto"/>
        <w:ind w:firstLine="720"/>
        <w:jc w:val="both"/>
      </w:pPr>
      <w:r>
        <w:t xml:space="preserve">The left figure shows </w:t>
      </w:r>
      <w:r>
        <w:rPr>
          <w:u w:val="single"/>
        </w:rPr>
        <w:t>Data Availability</w:t>
      </w:r>
      <w:r>
        <w:t xml:space="preserve">. WGS represents the number of patients with processed tumor-normal WGS data in the Hartwig database. </w:t>
      </w:r>
      <w:proofErr w:type="spellStart"/>
      <w:r>
        <w:t>RNASeq</w:t>
      </w:r>
      <w:proofErr w:type="spellEnd"/>
      <w:r>
        <w:t xml:space="preserve"> displays the number of patients with matched tumor RNA-seq data </w:t>
      </w:r>
      <w:r>
        <w:rPr>
          <w:sz w:val="21"/>
          <w:szCs w:val="21"/>
        </w:rPr>
        <w:t>(note that no RNA-seq data is available for patients for which WGS was not successful)</w:t>
      </w:r>
      <w:r>
        <w:t xml:space="preserve">. Age, Sex, Biopsy site, Pretreatment, and Treatment are clinical fields that are available for a subset of the patients in the Hartwig database. The Pretreatment field refers to treatment received prior to the patient biopsy and the sequencing of their tumors, while Treatment refers to the post-biopsy anti-cancer therapies received by the patient. The Response field refers to patients who had their post-biopsy response measured with either the RECIST 1.1 or RANO criteria. </w:t>
      </w:r>
    </w:p>
    <w:p w14:paraId="6FD31A64" w14:textId="77777777" w:rsidR="00D37B61" w:rsidRDefault="00000000">
      <w:pPr>
        <w:spacing w:after="160" w:line="240" w:lineRule="auto"/>
        <w:ind w:firstLine="720"/>
        <w:jc w:val="both"/>
        <w:rPr>
          <w:sz w:val="28"/>
          <w:szCs w:val="28"/>
        </w:rPr>
      </w:pPr>
      <w:r>
        <w:t xml:space="preserve">The right figure </w:t>
      </w:r>
      <w:r>
        <w:rPr>
          <w:u w:val="single"/>
        </w:rPr>
        <w:t>Patients with treatment and response data</w:t>
      </w:r>
      <w:r>
        <w:t xml:space="preserve"> shows </w:t>
      </w:r>
      <w:r>
        <w:rPr>
          <w:sz w:val="21"/>
          <w:szCs w:val="21"/>
        </w:rPr>
        <w:t>a more detailed breakdown of the available post biopsy treatment data which includes the type of treatment and the number of patients with a positive response</w:t>
      </w:r>
      <w:r>
        <w:t xml:space="preserve">. To be explicit, the treatment acronyms have the following meanings: Chemo – Chemotherapy, Targeted – Targeted Therapy, Hormonal – Hormonal Therapy, </w:t>
      </w:r>
      <w:proofErr w:type="spellStart"/>
      <w:r>
        <w:t>Immuno</w:t>
      </w:r>
      <w:proofErr w:type="spellEnd"/>
      <w:r>
        <w:t xml:space="preserve"> – Immunotherapy, Radio – Radiotherapy, Other – Other types of systemic therapy. Multiple refers to patients who received a treatment line that involved a combination of systemic therapies (e.g. Chemotherapy and Immunotherapy). The “Responders” counts the patients whose best response evaluation was either a partial (PR) or complete response (CR); the percentage of responders in added brackets. We note that patients who received multiple therapy lines were counted multiple times in this figure. Also, we emphasize this figure only includes patients with both their post-biopsy treatment and response measured. </w:t>
      </w:r>
      <w:r>
        <w:rPr>
          <w:sz w:val="28"/>
          <w:szCs w:val="28"/>
        </w:rPr>
        <w:br/>
      </w:r>
      <w:r>
        <w:br w:type="page"/>
      </w:r>
    </w:p>
    <w:p w14:paraId="10A86E9C" w14:textId="77777777" w:rsidR="00D37B61" w:rsidRDefault="00000000">
      <w:pPr>
        <w:pStyle w:val="Heading2"/>
        <w:spacing w:after="160" w:line="240" w:lineRule="auto"/>
        <w:jc w:val="both"/>
      </w:pPr>
      <w:bookmarkStart w:id="15" w:name="_g8bbheildks1" w:colFirst="0" w:colLast="0"/>
      <w:bookmarkEnd w:id="15"/>
      <w:r>
        <w:lastRenderedPageBreak/>
        <w:t xml:space="preserve">Tumor Characteristics  </w:t>
      </w:r>
    </w:p>
    <w:p w14:paraId="28A808F3" w14:textId="77777777" w:rsidR="00D37B61" w:rsidRDefault="00000000">
      <w:pPr>
        <w:pStyle w:val="Heading3"/>
        <w:spacing w:before="160" w:line="240" w:lineRule="auto"/>
        <w:jc w:val="both"/>
      </w:pPr>
      <w:bookmarkStart w:id="16" w:name="_8mpxlj9efxyk" w:colFirst="0" w:colLast="0"/>
      <w:bookmarkEnd w:id="16"/>
      <w:r>
        <w:t xml:space="preserve">Summary </w:t>
      </w:r>
    </w:p>
    <w:p w14:paraId="516C278C" w14:textId="77777777" w:rsidR="00D37B61" w:rsidRDefault="00000000">
      <w:pPr>
        <w:spacing w:after="160" w:line="240" w:lineRule="auto"/>
        <w:ind w:firstLine="720"/>
        <w:jc w:val="both"/>
      </w:pPr>
      <w:r>
        <w:t xml:space="preserve">This figure provides a high-level summary of fundamental tumor characteristics within specific cancer type cohorts compared to the pan-cancer reference. </w:t>
      </w:r>
      <w:hyperlink r:id="rId15">
        <w:r>
          <w:rPr>
            <w:color w:val="1155CC"/>
            <w:u w:val="single"/>
          </w:rPr>
          <w:t>PURPLE</w:t>
        </w:r>
      </w:hyperlink>
      <w:r>
        <w:t xml:space="preserve"> tools </w:t>
      </w:r>
      <w:hyperlink r:id="rId16">
        <w:r>
          <w:rPr>
            <w:color w:val="000000"/>
          </w:rPr>
          <w:t>(Priestley et al. 2019)</w:t>
        </w:r>
      </w:hyperlink>
      <w:r>
        <w:t xml:space="preserve"> are used to estimate the tumor mutational burden (TMB), microsatellite instability (MSI), whole genome doubling (WGD), and diploid proportion. To estimate genetic immune escape (GIE) overall we use the methodology described by </w:t>
      </w:r>
      <w:hyperlink r:id="rId17">
        <w:r>
          <w:rPr>
            <w:color w:val="000000"/>
          </w:rPr>
          <w:t>(Martínez-Jiménez et al. 2023)</w:t>
        </w:r>
      </w:hyperlink>
      <w:r>
        <w:t xml:space="preserve"> and estimate GIE loss of heterozygosity (LOH) of the human leukocyte antigen (HLA) with </w:t>
      </w:r>
      <w:hyperlink r:id="rId18">
        <w:r>
          <w:rPr>
            <w:color w:val="1155CC"/>
            <w:u w:val="single"/>
          </w:rPr>
          <w:t>LILAC</w:t>
        </w:r>
      </w:hyperlink>
      <w:r>
        <w:t xml:space="preserve">. Viral insertions are predicted using the </w:t>
      </w:r>
      <w:hyperlink r:id="rId19">
        <w:r>
          <w:rPr>
            <w:color w:val="1155CC"/>
            <w:u w:val="single"/>
          </w:rPr>
          <w:t>Virus Interpreter</w:t>
        </w:r>
      </w:hyperlink>
      <w:r>
        <w:t xml:space="preserve"> tool. Finally, homologous recombination deficiency (HRD) is estimated with the </w:t>
      </w:r>
      <w:hyperlink r:id="rId20">
        <w:r>
          <w:rPr>
            <w:color w:val="1155CC"/>
            <w:u w:val="single"/>
          </w:rPr>
          <w:t>CHORD</w:t>
        </w:r>
      </w:hyperlink>
      <w:r>
        <w:t xml:space="preserve"> tool </w:t>
      </w:r>
      <w:hyperlink r:id="rId21">
        <w:r>
          <w:rPr>
            <w:color w:val="000000"/>
          </w:rPr>
          <w:t>(Nguyen et al. 2020)</w:t>
        </w:r>
      </w:hyperlink>
      <w:r>
        <w:t xml:space="preserve">. </w:t>
      </w:r>
    </w:p>
    <w:p w14:paraId="3D35F476" w14:textId="77777777" w:rsidR="00D37B61" w:rsidRDefault="00000000">
      <w:pPr>
        <w:spacing w:after="160" w:line="240" w:lineRule="auto"/>
        <w:jc w:val="both"/>
        <w:rPr>
          <w:sz w:val="27"/>
          <w:szCs w:val="27"/>
        </w:rPr>
      </w:pPr>
      <w:r>
        <w:rPr>
          <w:noProof/>
          <w:sz w:val="27"/>
          <w:szCs w:val="27"/>
        </w:rPr>
        <w:drawing>
          <wp:inline distT="114300" distB="114300" distL="114300" distR="114300" wp14:anchorId="2D6FF113" wp14:editId="3A802B70">
            <wp:extent cx="5943600" cy="16002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943600" cy="1600200"/>
                    </a:xfrm>
                    <a:prstGeom prst="rect">
                      <a:avLst/>
                    </a:prstGeom>
                    <a:ln/>
                  </pic:spPr>
                </pic:pic>
              </a:graphicData>
            </a:graphic>
          </wp:inline>
        </w:drawing>
      </w:r>
    </w:p>
    <w:p w14:paraId="59F01B19" w14:textId="77777777" w:rsidR="00D37B61" w:rsidRDefault="00000000">
      <w:pPr>
        <w:pStyle w:val="Heading3"/>
        <w:spacing w:after="160" w:line="240" w:lineRule="auto"/>
        <w:jc w:val="both"/>
      </w:pPr>
      <w:bookmarkStart w:id="17" w:name="_rhz0vbkeoo68" w:colFirst="0" w:colLast="0"/>
      <w:bookmarkEnd w:id="17"/>
      <w:r>
        <w:t xml:space="preserve">Figure Description </w:t>
      </w:r>
    </w:p>
    <w:p w14:paraId="6B4C6BD1" w14:textId="77777777" w:rsidR="00D37B61" w:rsidRDefault="00000000">
      <w:pPr>
        <w:spacing w:after="160" w:line="240" w:lineRule="auto"/>
        <w:jc w:val="both"/>
      </w:pPr>
      <w:r>
        <w:t xml:space="preserve">The fields in this figure are described as follows: </w:t>
      </w:r>
    </w:p>
    <w:p w14:paraId="6DD113AE" w14:textId="77777777" w:rsidR="00D37B61" w:rsidRDefault="00000000">
      <w:pPr>
        <w:numPr>
          <w:ilvl w:val="0"/>
          <w:numId w:val="4"/>
        </w:numPr>
        <w:spacing w:line="240" w:lineRule="auto"/>
        <w:ind w:left="360"/>
        <w:jc w:val="both"/>
      </w:pPr>
      <w:r>
        <w:t xml:space="preserve">TMB High: % of patients with &gt; 10 somatic mutations per </w:t>
      </w:r>
      <w:proofErr w:type="spellStart"/>
      <w:r>
        <w:t>megabase</w:t>
      </w:r>
      <w:proofErr w:type="spellEnd"/>
      <w:r>
        <w:t xml:space="preserve">. All mutations passing the quality control thresholds are included. </w:t>
      </w:r>
    </w:p>
    <w:p w14:paraId="08ECE37D" w14:textId="77777777" w:rsidR="00D37B61" w:rsidRDefault="00000000">
      <w:pPr>
        <w:numPr>
          <w:ilvl w:val="0"/>
          <w:numId w:val="4"/>
        </w:numPr>
        <w:spacing w:line="240" w:lineRule="auto"/>
        <w:ind w:left="360"/>
        <w:jc w:val="both"/>
      </w:pPr>
      <w:r>
        <w:t xml:space="preserve">MSI High: % of patients with &gt; 4 microsatellite indels per </w:t>
      </w:r>
      <w:proofErr w:type="spellStart"/>
      <w:r>
        <w:t>megabase</w:t>
      </w:r>
      <w:proofErr w:type="spellEnd"/>
      <w:r>
        <w:t xml:space="preserve">. </w:t>
      </w:r>
    </w:p>
    <w:p w14:paraId="02DFEDD5" w14:textId="77777777" w:rsidR="00D37B61" w:rsidRDefault="00000000">
      <w:pPr>
        <w:numPr>
          <w:ilvl w:val="0"/>
          <w:numId w:val="4"/>
        </w:numPr>
        <w:spacing w:line="240" w:lineRule="auto"/>
        <w:ind w:left="360"/>
        <w:jc w:val="both"/>
      </w:pPr>
      <w:r>
        <w:t>WGD: % of patients with a whole genome doubling events across the cohort. This is set to true if more than 10 autosomes have major allele copy number &gt; 1.5.</w:t>
      </w:r>
    </w:p>
    <w:p w14:paraId="63B3B96D" w14:textId="77777777" w:rsidR="00D37B61" w:rsidRDefault="00000000">
      <w:pPr>
        <w:numPr>
          <w:ilvl w:val="0"/>
          <w:numId w:val="4"/>
        </w:numPr>
        <w:spacing w:line="240" w:lineRule="auto"/>
        <w:ind w:left="360"/>
        <w:jc w:val="both"/>
      </w:pPr>
      <w:r>
        <w:t xml:space="preserve">Diploid proportion: the mean diploid proportion across all patients in the cohort. </w:t>
      </w:r>
    </w:p>
    <w:p w14:paraId="00DD7B85" w14:textId="77777777" w:rsidR="00D37B61" w:rsidRDefault="00000000">
      <w:pPr>
        <w:numPr>
          <w:ilvl w:val="0"/>
          <w:numId w:val="4"/>
        </w:numPr>
        <w:spacing w:line="240" w:lineRule="auto"/>
        <w:ind w:left="360"/>
        <w:jc w:val="both"/>
      </w:pPr>
      <w:r>
        <w:t xml:space="preserve">GIE HLA LOH: % of patients with a loss of heterozygosity (LOH) of one or more human leukocyte antigen (HLA) alleles. </w:t>
      </w:r>
    </w:p>
    <w:p w14:paraId="4BD85D88" w14:textId="77777777" w:rsidR="00D37B61" w:rsidRDefault="00000000">
      <w:pPr>
        <w:numPr>
          <w:ilvl w:val="0"/>
          <w:numId w:val="4"/>
        </w:numPr>
        <w:spacing w:line="240" w:lineRule="auto"/>
        <w:ind w:left="360"/>
        <w:jc w:val="both"/>
      </w:pPr>
      <w:r>
        <w:t xml:space="preserve">GIE Overall: % of patients with any genetic immune escape (GIE) event. </w:t>
      </w:r>
    </w:p>
    <w:p w14:paraId="4688F76F" w14:textId="77777777" w:rsidR="00D37B61" w:rsidRDefault="00000000">
      <w:pPr>
        <w:numPr>
          <w:ilvl w:val="0"/>
          <w:numId w:val="4"/>
        </w:numPr>
        <w:spacing w:line="240" w:lineRule="auto"/>
        <w:ind w:left="360"/>
        <w:jc w:val="both"/>
      </w:pPr>
      <w:r>
        <w:t xml:space="preserve">Viral Insertions: % of patients with a viral insertion in their cancer genome. </w:t>
      </w:r>
    </w:p>
    <w:p w14:paraId="0F893824" w14:textId="77777777" w:rsidR="00D37B61" w:rsidRDefault="00000000">
      <w:pPr>
        <w:numPr>
          <w:ilvl w:val="0"/>
          <w:numId w:val="4"/>
        </w:numPr>
        <w:spacing w:line="240" w:lineRule="auto"/>
        <w:ind w:left="360"/>
        <w:jc w:val="both"/>
      </w:pPr>
      <w:r>
        <w:t xml:space="preserve">HRD: % of patients labeled to have homologous recombination deficiency with CHORD score &gt; 0.5. </w:t>
      </w:r>
    </w:p>
    <w:p w14:paraId="1E3B7640" w14:textId="77777777" w:rsidR="00D37B61" w:rsidRDefault="00000000">
      <w:pPr>
        <w:spacing w:line="240" w:lineRule="auto"/>
      </w:pPr>
      <w:r>
        <w:br w:type="page"/>
      </w:r>
    </w:p>
    <w:p w14:paraId="6A343F6D" w14:textId="77777777" w:rsidR="00D37B61" w:rsidRDefault="00000000">
      <w:pPr>
        <w:pStyle w:val="Heading2"/>
        <w:spacing w:line="240" w:lineRule="auto"/>
      </w:pPr>
      <w:bookmarkStart w:id="18" w:name="_wqopetz2dkvf" w:colFirst="0" w:colLast="0"/>
      <w:bookmarkEnd w:id="18"/>
      <w:r>
        <w:lastRenderedPageBreak/>
        <w:t>Mutational Landscape</w:t>
      </w:r>
    </w:p>
    <w:p w14:paraId="7172320E" w14:textId="77777777" w:rsidR="00D37B61" w:rsidRDefault="00000000">
      <w:pPr>
        <w:pStyle w:val="Heading3"/>
        <w:spacing w:after="160" w:line="240" w:lineRule="auto"/>
        <w:jc w:val="both"/>
      </w:pPr>
      <w:bookmarkStart w:id="19" w:name="_rkbnkeoc50no" w:colFirst="0" w:colLast="0"/>
      <w:bookmarkEnd w:id="19"/>
      <w:r>
        <w:t xml:space="preserve">Summary </w:t>
      </w:r>
    </w:p>
    <w:p w14:paraId="44F72DC9" w14:textId="77777777" w:rsidR="00D37B61" w:rsidRDefault="00000000">
      <w:pPr>
        <w:spacing w:line="240" w:lineRule="auto"/>
        <w:jc w:val="both"/>
      </w:pPr>
      <w:r>
        <w:t xml:space="preserve"> </w:t>
      </w:r>
      <w:r>
        <w:tab/>
        <w:t xml:space="preserve">The mutational landscape figure compares the distribution of various molecular feature values within the cohort to the pan-cancer reference. For most figures in this panel, the underlying data is provided by </w:t>
      </w:r>
      <w:hyperlink r:id="rId23">
        <w:r>
          <w:rPr>
            <w:color w:val="1155CC"/>
            <w:u w:val="single"/>
          </w:rPr>
          <w:t>PURPLE</w:t>
        </w:r>
      </w:hyperlink>
      <w:r>
        <w:t xml:space="preserve"> </w:t>
      </w:r>
      <w:hyperlink r:id="rId24">
        <w:r>
          <w:rPr>
            <w:color w:val="000000"/>
          </w:rPr>
          <w:t>(Priestley et al. 2019)</w:t>
        </w:r>
      </w:hyperlink>
      <w:r>
        <w:t xml:space="preserve">, while the telomere length is computed from the </w:t>
      </w:r>
      <w:hyperlink r:id="rId25">
        <w:r>
          <w:rPr>
            <w:color w:val="1155CC"/>
            <w:u w:val="single"/>
          </w:rPr>
          <w:t>TEAL</w:t>
        </w:r>
      </w:hyperlink>
      <w:r>
        <w:t xml:space="preserve"> tool, and VDJ CDR3 sequences are output from </w:t>
      </w:r>
      <w:hyperlink r:id="rId26">
        <w:r>
          <w:rPr>
            <w:color w:val="1155CC"/>
            <w:u w:val="single"/>
          </w:rPr>
          <w:t>CIDER</w:t>
        </w:r>
      </w:hyperlink>
      <w:r>
        <w:t xml:space="preserve">. For each figure, the dark blue represents the distribution of feature values across the highlighted cohort, while gray represents the pan-cancer reference values. The numeric labels corresponding to the vertical dashed lines annotate median values.          </w:t>
      </w:r>
    </w:p>
    <w:p w14:paraId="59A444AC" w14:textId="77777777" w:rsidR="00D37B61" w:rsidRDefault="00000000">
      <w:pPr>
        <w:spacing w:line="240" w:lineRule="auto"/>
        <w:jc w:val="center"/>
        <w:rPr>
          <w:sz w:val="24"/>
          <w:szCs w:val="24"/>
        </w:rPr>
      </w:pPr>
      <w:r>
        <w:t xml:space="preserve"> </w:t>
      </w:r>
      <w:r>
        <w:rPr>
          <w:noProof/>
        </w:rPr>
        <w:drawing>
          <wp:inline distT="114300" distB="114300" distL="114300" distR="114300" wp14:anchorId="620F30BE" wp14:editId="7BCDC6AE">
            <wp:extent cx="3925531" cy="5264731"/>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3925531" cy="5264731"/>
                    </a:xfrm>
                    <a:prstGeom prst="rect">
                      <a:avLst/>
                    </a:prstGeom>
                    <a:ln/>
                  </pic:spPr>
                </pic:pic>
              </a:graphicData>
            </a:graphic>
          </wp:inline>
        </w:drawing>
      </w:r>
    </w:p>
    <w:p w14:paraId="0DEB4D5C" w14:textId="77777777" w:rsidR="00D37B61" w:rsidRDefault="00000000">
      <w:pPr>
        <w:pStyle w:val="Heading3"/>
        <w:spacing w:after="160" w:line="240" w:lineRule="auto"/>
        <w:jc w:val="both"/>
      </w:pPr>
      <w:bookmarkStart w:id="20" w:name="_8jr7czr5eunk" w:colFirst="0" w:colLast="0"/>
      <w:bookmarkEnd w:id="20"/>
      <w:r>
        <w:t xml:space="preserve">Figure Description </w:t>
      </w:r>
    </w:p>
    <w:p w14:paraId="170371DB" w14:textId="77777777" w:rsidR="00D37B61" w:rsidRDefault="00000000">
      <w:pPr>
        <w:spacing w:line="240" w:lineRule="auto"/>
        <w:jc w:val="both"/>
      </w:pPr>
      <w:r>
        <w:t xml:space="preserve">The fields in the figure are described in more detail below: </w:t>
      </w:r>
    </w:p>
    <w:p w14:paraId="7A339135" w14:textId="77777777" w:rsidR="00D37B61" w:rsidRDefault="00000000">
      <w:pPr>
        <w:numPr>
          <w:ilvl w:val="0"/>
          <w:numId w:val="4"/>
        </w:numPr>
        <w:spacing w:line="240" w:lineRule="auto"/>
        <w:ind w:left="360"/>
        <w:jc w:val="both"/>
      </w:pPr>
      <w:r>
        <w:t xml:space="preserve">Tumor purity: Estimated tumor purity from the PURPLE tool. Only tumor samples with an estimated tumor purity tumor purity greater than 20% are included in the data request. </w:t>
      </w:r>
    </w:p>
    <w:p w14:paraId="2756965E" w14:textId="77777777" w:rsidR="00D37B61" w:rsidRDefault="00000000">
      <w:pPr>
        <w:numPr>
          <w:ilvl w:val="0"/>
          <w:numId w:val="4"/>
        </w:numPr>
        <w:spacing w:line="240" w:lineRule="auto"/>
        <w:ind w:left="360"/>
        <w:jc w:val="both"/>
      </w:pPr>
      <w:r>
        <w:lastRenderedPageBreak/>
        <w:t xml:space="preserve">Clonal mutation fraction: For each patient, the numbers refer to the percentage of variants with clonal likelihood greater than .8.  </w:t>
      </w:r>
    </w:p>
    <w:p w14:paraId="3FD34E38" w14:textId="77777777" w:rsidR="00D37B61" w:rsidRDefault="00000000">
      <w:pPr>
        <w:numPr>
          <w:ilvl w:val="0"/>
          <w:numId w:val="4"/>
        </w:numPr>
        <w:spacing w:line="240" w:lineRule="auto"/>
        <w:ind w:left="360"/>
        <w:jc w:val="both"/>
      </w:pPr>
      <w:r>
        <w:t xml:space="preserve">Tumor mutational burden: Number of somatic variants per </w:t>
      </w:r>
      <w:proofErr w:type="spellStart"/>
      <w:r>
        <w:t>megabase</w:t>
      </w:r>
      <w:proofErr w:type="spellEnd"/>
      <w:r>
        <w:t xml:space="preserve"> that pass the quality control thresholds (all variants). Patients with &gt; 10 mutations per </w:t>
      </w:r>
      <w:proofErr w:type="spellStart"/>
      <w:r>
        <w:t>megabase</w:t>
      </w:r>
      <w:proofErr w:type="spellEnd"/>
      <w:r>
        <w:t xml:space="preserve"> are labeled TMB High, and the overall %’s are added in the right corners. </w:t>
      </w:r>
    </w:p>
    <w:p w14:paraId="286C8B6B" w14:textId="77777777" w:rsidR="00D37B61" w:rsidRDefault="00000000">
      <w:pPr>
        <w:numPr>
          <w:ilvl w:val="0"/>
          <w:numId w:val="4"/>
        </w:numPr>
        <w:spacing w:line="240" w:lineRule="auto"/>
        <w:ind w:left="360"/>
        <w:jc w:val="both"/>
      </w:pPr>
      <w:r>
        <w:t>Variant Types: Cumulative distribution frequency (CDF) plots of different variant types.</w:t>
      </w:r>
    </w:p>
    <w:p w14:paraId="672D4FE0" w14:textId="77777777" w:rsidR="00D37B61" w:rsidRDefault="00000000">
      <w:pPr>
        <w:numPr>
          <w:ilvl w:val="1"/>
          <w:numId w:val="4"/>
        </w:numPr>
        <w:spacing w:line="240" w:lineRule="auto"/>
        <w:ind w:left="720"/>
        <w:jc w:val="both"/>
      </w:pPr>
      <w:r>
        <w:t>SNV - Single nucleotide variants</w:t>
      </w:r>
    </w:p>
    <w:p w14:paraId="505E3391" w14:textId="77777777" w:rsidR="00D37B61" w:rsidRDefault="00000000">
      <w:pPr>
        <w:numPr>
          <w:ilvl w:val="1"/>
          <w:numId w:val="4"/>
        </w:numPr>
        <w:spacing w:line="240" w:lineRule="auto"/>
        <w:ind w:left="720"/>
        <w:jc w:val="both"/>
      </w:pPr>
      <w:r>
        <w:t>INDEL - Insertions or deletions</w:t>
      </w:r>
    </w:p>
    <w:p w14:paraId="48ED30CB" w14:textId="77777777" w:rsidR="00D37B61" w:rsidRDefault="00000000">
      <w:pPr>
        <w:numPr>
          <w:ilvl w:val="1"/>
          <w:numId w:val="4"/>
        </w:numPr>
        <w:spacing w:line="240" w:lineRule="auto"/>
        <w:ind w:left="720"/>
        <w:jc w:val="both"/>
      </w:pPr>
      <w:r>
        <w:t>MNV - Multiple nucleotide variants</w:t>
      </w:r>
    </w:p>
    <w:p w14:paraId="4E75C3E5" w14:textId="77777777" w:rsidR="00D37B61" w:rsidRDefault="00000000">
      <w:pPr>
        <w:numPr>
          <w:ilvl w:val="1"/>
          <w:numId w:val="4"/>
        </w:numPr>
        <w:spacing w:line="240" w:lineRule="auto"/>
        <w:ind w:left="720"/>
        <w:jc w:val="both"/>
      </w:pPr>
      <w:r>
        <w:t>Structural - Structural variants</w:t>
      </w:r>
    </w:p>
    <w:p w14:paraId="16E91477" w14:textId="77777777" w:rsidR="00D37B61" w:rsidRDefault="00000000">
      <w:pPr>
        <w:numPr>
          <w:ilvl w:val="0"/>
          <w:numId w:val="4"/>
        </w:numPr>
        <w:spacing w:line="240" w:lineRule="auto"/>
        <w:ind w:left="360"/>
        <w:jc w:val="both"/>
      </w:pPr>
      <w:r>
        <w:t>Telomere Length: Log base 2 ratio of the estimated tumor versus germline telomere lengths.</w:t>
      </w:r>
    </w:p>
    <w:p w14:paraId="06C2DEC5" w14:textId="77777777" w:rsidR="00D37B61" w:rsidRDefault="00000000">
      <w:pPr>
        <w:numPr>
          <w:ilvl w:val="0"/>
          <w:numId w:val="4"/>
        </w:numPr>
        <w:spacing w:line="240" w:lineRule="auto"/>
        <w:ind w:left="360"/>
        <w:jc w:val="both"/>
      </w:pPr>
      <w:r>
        <w:t xml:space="preserve">VDJ CDR3 Sequences: Number of captured CDR3 VDJ sequences (includes all loci TRG, TRA/TRG, TRB, IGK, IGH, IGL). </w:t>
      </w:r>
    </w:p>
    <w:p w14:paraId="7CE8CE41" w14:textId="77777777" w:rsidR="00D37B61" w:rsidRDefault="00000000">
      <w:pPr>
        <w:numPr>
          <w:ilvl w:val="0"/>
          <w:numId w:val="4"/>
        </w:numPr>
        <w:spacing w:line="240" w:lineRule="auto"/>
        <w:ind w:left="360"/>
        <w:jc w:val="both"/>
      </w:pPr>
      <w:r>
        <w:t>% Genome LOH: For each patient, the proportion of the genome undergoing LOH is defined as regions with minor allele copy number &lt; .3 and major allele copy number &gt; .7 as determined by PURPLE.</w:t>
      </w:r>
    </w:p>
    <w:p w14:paraId="0A3D97A4" w14:textId="77777777" w:rsidR="00D37B61" w:rsidRDefault="00000000">
      <w:pPr>
        <w:numPr>
          <w:ilvl w:val="0"/>
          <w:numId w:val="4"/>
        </w:numPr>
        <w:spacing w:line="240" w:lineRule="auto"/>
        <w:ind w:left="360"/>
        <w:jc w:val="both"/>
      </w:pPr>
      <w:r>
        <w:t xml:space="preserve">Microsatellite Instability: Average number of </w:t>
      </w:r>
      <w:proofErr w:type="gramStart"/>
      <w:r>
        <w:t>microsatellite</w:t>
      </w:r>
      <w:proofErr w:type="gramEnd"/>
      <w:r>
        <w:t xml:space="preserve"> inserts per </w:t>
      </w:r>
      <w:proofErr w:type="spellStart"/>
      <w:r>
        <w:t>megabase</w:t>
      </w:r>
      <w:proofErr w:type="spellEnd"/>
      <w:r>
        <w:t xml:space="preserve">. Patients with &gt; 4 microsatellite inserts per </w:t>
      </w:r>
      <w:proofErr w:type="spellStart"/>
      <w:r>
        <w:t>megabase</w:t>
      </w:r>
      <w:proofErr w:type="spellEnd"/>
      <w:r>
        <w:t xml:space="preserve"> are labeled MSI High, and the overall MSI High % 's are added in the right corners. </w:t>
      </w:r>
    </w:p>
    <w:p w14:paraId="77EF2400" w14:textId="77777777" w:rsidR="00D37B61" w:rsidRDefault="00000000">
      <w:pPr>
        <w:numPr>
          <w:ilvl w:val="0"/>
          <w:numId w:val="4"/>
        </w:numPr>
        <w:spacing w:line="240" w:lineRule="auto"/>
        <w:ind w:left="360"/>
        <w:jc w:val="both"/>
      </w:pPr>
      <w:r>
        <w:t xml:space="preserve">Mean genome ploidy: Average ploidy of the tumor sample after adjusting for purity. </w:t>
      </w:r>
    </w:p>
    <w:p w14:paraId="2C450166" w14:textId="77777777" w:rsidR="00D37B61" w:rsidRDefault="00000000">
      <w:pPr>
        <w:numPr>
          <w:ilvl w:val="0"/>
          <w:numId w:val="4"/>
        </w:numPr>
        <w:spacing w:line="240" w:lineRule="auto"/>
        <w:ind w:left="360"/>
        <w:jc w:val="both"/>
      </w:pPr>
      <w:r>
        <w:t xml:space="preserve">Aneuploidy: The number of autosomal chromosome arm-level copy number events (gains or losses) in each patient sample. The total scores range from 0-39 reflecting the total number of autosomal arms (for chromosome 13-15 and 20-22 only the q arms are counted). The scores were computed following the logic described in </w:t>
      </w:r>
      <w:hyperlink r:id="rId28">
        <w:r>
          <w:rPr>
            <w:color w:val="000000"/>
          </w:rPr>
          <w:t>(Taylor et al. 2018)</w:t>
        </w:r>
      </w:hyperlink>
      <w:r>
        <w:t xml:space="preserve">. </w:t>
      </w:r>
    </w:p>
    <w:p w14:paraId="6E536105" w14:textId="77777777" w:rsidR="00D37B61" w:rsidRDefault="00000000">
      <w:pPr>
        <w:numPr>
          <w:ilvl w:val="0"/>
          <w:numId w:val="4"/>
        </w:numPr>
        <w:spacing w:line="240" w:lineRule="auto"/>
        <w:ind w:left="360"/>
        <w:jc w:val="both"/>
      </w:pPr>
      <w:r>
        <w:t xml:space="preserve">% Copy number alteration: The % of the genomes with somatic copy number alterations (defined by copy number &lt; 1.5 or &gt; 2.5 for autosomal chromosomes).  </w:t>
      </w:r>
    </w:p>
    <w:p w14:paraId="0FBDFB26" w14:textId="77777777" w:rsidR="00D37B61" w:rsidRDefault="00000000">
      <w:pPr>
        <w:pStyle w:val="Heading2"/>
        <w:spacing w:after="160" w:line="240" w:lineRule="auto"/>
        <w:jc w:val="both"/>
      </w:pPr>
      <w:bookmarkStart w:id="21" w:name="_z5xpdy5kqbjl" w:colFirst="0" w:colLast="0"/>
      <w:bookmarkEnd w:id="21"/>
      <w:r>
        <w:br w:type="page"/>
      </w:r>
    </w:p>
    <w:p w14:paraId="06589DBA" w14:textId="77777777" w:rsidR="00D37B61" w:rsidRDefault="00000000">
      <w:pPr>
        <w:pStyle w:val="Heading2"/>
        <w:spacing w:after="160" w:line="240" w:lineRule="auto"/>
        <w:jc w:val="both"/>
      </w:pPr>
      <w:bookmarkStart w:id="22" w:name="_a25kgz54ba0d" w:colFirst="0" w:colLast="0"/>
      <w:bookmarkEnd w:id="22"/>
      <w:r>
        <w:lastRenderedPageBreak/>
        <w:t xml:space="preserve">Processes Underlying Mutations </w:t>
      </w:r>
    </w:p>
    <w:p w14:paraId="10A78F89" w14:textId="77777777" w:rsidR="00D37B61" w:rsidRDefault="00000000">
      <w:pPr>
        <w:pStyle w:val="Heading3"/>
        <w:spacing w:before="160" w:line="240" w:lineRule="auto"/>
        <w:jc w:val="both"/>
      </w:pPr>
      <w:bookmarkStart w:id="23" w:name="_e8imf6nr884l" w:colFirst="0" w:colLast="0"/>
      <w:bookmarkEnd w:id="23"/>
      <w:r>
        <w:t xml:space="preserve">Summary </w:t>
      </w:r>
    </w:p>
    <w:p w14:paraId="073A3FA2" w14:textId="77777777" w:rsidR="00D37B61" w:rsidRDefault="00000000">
      <w:pPr>
        <w:spacing w:after="160" w:line="240" w:lineRule="auto"/>
        <w:ind w:firstLine="720"/>
        <w:jc w:val="both"/>
        <w:rPr>
          <w:sz w:val="24"/>
          <w:szCs w:val="24"/>
        </w:rPr>
      </w:pPr>
      <w:r>
        <w:rPr>
          <w:sz w:val="24"/>
          <w:szCs w:val="24"/>
        </w:rPr>
        <w:t xml:space="preserve">This figure summarizes estimated mutational processes underlying the somatic mutations in the Hartwig database. The processes are approximated based on single base substitution (SBS) signatures developed by </w:t>
      </w:r>
      <w:hyperlink r:id="rId29">
        <w:r>
          <w:rPr>
            <w:color w:val="000000"/>
            <w:sz w:val="24"/>
            <w:szCs w:val="24"/>
          </w:rPr>
          <w:t>(Alexandrov et al. 2013, 2023)</w:t>
        </w:r>
      </w:hyperlink>
      <w:r>
        <w:rPr>
          <w:sz w:val="24"/>
          <w:szCs w:val="24"/>
        </w:rPr>
        <w:t xml:space="preserve">. The somatic VCF files used to compute trinucleotide contexts are output </w:t>
      </w:r>
      <w:r>
        <w:t xml:space="preserve">by </w:t>
      </w:r>
      <w:hyperlink r:id="rId30">
        <w:r>
          <w:rPr>
            <w:color w:val="1155CC"/>
            <w:u w:val="single"/>
          </w:rPr>
          <w:t>PURPLE</w:t>
        </w:r>
      </w:hyperlink>
      <w:r>
        <w:t xml:space="preserve"> </w:t>
      </w:r>
      <w:hyperlink r:id="rId31">
        <w:r>
          <w:rPr>
            <w:color w:val="000000"/>
          </w:rPr>
          <w:t>(Priestley et al. 2019)</w:t>
        </w:r>
      </w:hyperlink>
      <w:r>
        <w:rPr>
          <w:sz w:val="24"/>
          <w:szCs w:val="24"/>
        </w:rPr>
        <w:t>.</w:t>
      </w:r>
    </w:p>
    <w:p w14:paraId="60A7DA8E" w14:textId="77777777" w:rsidR="00D37B61" w:rsidRDefault="00000000">
      <w:pPr>
        <w:spacing w:after="160" w:line="240" w:lineRule="auto"/>
        <w:jc w:val="center"/>
        <w:rPr>
          <w:sz w:val="24"/>
          <w:szCs w:val="24"/>
        </w:rPr>
      </w:pPr>
      <w:r>
        <w:rPr>
          <w:noProof/>
          <w:sz w:val="24"/>
          <w:szCs w:val="24"/>
        </w:rPr>
        <w:drawing>
          <wp:inline distT="114300" distB="114300" distL="114300" distR="114300" wp14:anchorId="204C035D" wp14:editId="1F29CDE5">
            <wp:extent cx="2741604" cy="2155937"/>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2741604" cy="2155937"/>
                    </a:xfrm>
                    <a:prstGeom prst="rect">
                      <a:avLst/>
                    </a:prstGeom>
                    <a:ln/>
                  </pic:spPr>
                </pic:pic>
              </a:graphicData>
            </a:graphic>
          </wp:inline>
        </w:drawing>
      </w:r>
    </w:p>
    <w:p w14:paraId="227855FA" w14:textId="77777777" w:rsidR="00D37B61" w:rsidRDefault="00000000">
      <w:pPr>
        <w:pStyle w:val="Heading3"/>
        <w:spacing w:after="160" w:line="240" w:lineRule="auto"/>
      </w:pPr>
      <w:bookmarkStart w:id="24" w:name="_xlcqa3gmberb" w:colFirst="0" w:colLast="0"/>
      <w:bookmarkEnd w:id="24"/>
      <w:r>
        <w:t xml:space="preserve">Figure Description </w:t>
      </w:r>
    </w:p>
    <w:p w14:paraId="7D8709DE" w14:textId="77777777" w:rsidR="00D37B61" w:rsidRDefault="00000000">
      <w:pPr>
        <w:spacing w:after="160" w:line="240" w:lineRule="auto"/>
        <w:ind w:firstLine="720"/>
        <w:jc w:val="both"/>
      </w:pPr>
      <w:r>
        <w:t xml:space="preserve">The above percentages show the average contributions of each underlying process to the overall SBS mutational burden across the cohort. For each patient, the SBS mutational burden corresponding to each process is estimated as follows:  </w:t>
      </w:r>
    </w:p>
    <w:p w14:paraId="409296BD" w14:textId="77777777" w:rsidR="00D37B61" w:rsidRDefault="00000000">
      <w:pPr>
        <w:numPr>
          <w:ilvl w:val="0"/>
          <w:numId w:val="8"/>
        </w:numPr>
        <w:spacing w:line="240" w:lineRule="auto"/>
        <w:ind w:left="1080"/>
        <w:jc w:val="both"/>
      </w:pPr>
      <w:r>
        <w:t xml:space="preserve">SBSs and trinucleotide contexts are extracted from the observed somatic variants.  </w:t>
      </w:r>
    </w:p>
    <w:p w14:paraId="52ADABB2" w14:textId="77777777" w:rsidR="00D37B61" w:rsidRDefault="00000000">
      <w:pPr>
        <w:numPr>
          <w:ilvl w:val="0"/>
          <w:numId w:val="6"/>
        </w:numPr>
        <w:spacing w:line="240" w:lineRule="auto"/>
        <w:ind w:left="1080"/>
        <w:jc w:val="both"/>
      </w:pPr>
      <w:r>
        <w:t xml:space="preserve">Aggregated counts of SBS mutations and their tri-nucleotide contexts are computed. </w:t>
      </w:r>
    </w:p>
    <w:p w14:paraId="6BA0C01A" w14:textId="77777777" w:rsidR="00D37B61" w:rsidRDefault="00000000">
      <w:pPr>
        <w:numPr>
          <w:ilvl w:val="0"/>
          <w:numId w:val="1"/>
        </w:numPr>
        <w:spacing w:line="240" w:lineRule="auto"/>
        <w:ind w:left="1080"/>
        <w:jc w:val="both"/>
      </w:pPr>
      <w:r>
        <w:t xml:space="preserve">SBS contributions were estimated using the R package </w:t>
      </w:r>
      <w:proofErr w:type="spellStart"/>
      <w:r>
        <w:t>deconstructSigs</w:t>
      </w:r>
      <w:proofErr w:type="spellEnd"/>
      <w:r>
        <w:t xml:space="preserve"> with version </w:t>
      </w:r>
      <w:hyperlink r:id="rId33">
        <w:r>
          <w:rPr>
            <w:color w:val="1155CC"/>
            <w:u w:val="single"/>
          </w:rPr>
          <w:t>COSMIC</w:t>
        </w:r>
      </w:hyperlink>
      <w:r>
        <w:t xml:space="preserve"> 3.4 reference. </w:t>
      </w:r>
    </w:p>
    <w:p w14:paraId="10F689A1" w14:textId="77777777" w:rsidR="00D37B61" w:rsidRDefault="00000000">
      <w:pPr>
        <w:numPr>
          <w:ilvl w:val="0"/>
          <w:numId w:val="7"/>
        </w:numPr>
        <w:spacing w:line="240" w:lineRule="auto"/>
        <w:ind w:left="1080"/>
        <w:jc w:val="both"/>
      </w:pPr>
      <w:r>
        <w:t xml:space="preserve">SBS TMB was computed by multiplying the SBS contribution by the sample TMB.  </w:t>
      </w:r>
    </w:p>
    <w:p w14:paraId="5D0A936B" w14:textId="77777777" w:rsidR="00D37B61" w:rsidRDefault="00000000">
      <w:pPr>
        <w:numPr>
          <w:ilvl w:val="0"/>
          <w:numId w:val="10"/>
        </w:numPr>
        <w:spacing w:line="240" w:lineRule="auto"/>
        <w:ind w:left="1080"/>
        <w:jc w:val="both"/>
      </w:pPr>
      <w:r>
        <w:t xml:space="preserve">SBS TMBs were grouped based on the following rules: </w:t>
      </w:r>
    </w:p>
    <w:p w14:paraId="79C656F8" w14:textId="77777777" w:rsidR="00D37B61" w:rsidRDefault="00D37B61">
      <w:pPr>
        <w:spacing w:line="240" w:lineRule="auto"/>
        <w:ind w:left="720"/>
        <w:jc w:val="both"/>
      </w:pPr>
    </w:p>
    <w:tbl>
      <w:tblPr>
        <w:tblStyle w:val="a"/>
        <w:tblW w:w="93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41"/>
        <w:gridCol w:w="6918"/>
      </w:tblGrid>
      <w:tr w:rsidR="00D37B61" w14:paraId="316B2FEB"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0365E6" w14:textId="77777777" w:rsidR="00D37B61" w:rsidRDefault="00000000">
            <w:pPr>
              <w:spacing w:before="40" w:after="40" w:line="240" w:lineRule="auto"/>
              <w:ind w:left="-80"/>
              <w:jc w:val="center"/>
            </w:pPr>
            <w:r>
              <w:t xml:space="preserve">Underlying Process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269017F" w14:textId="77777777" w:rsidR="00D37B61" w:rsidRDefault="00000000">
            <w:pPr>
              <w:spacing w:before="40" w:after="40" w:line="240" w:lineRule="auto"/>
              <w:ind w:left="-80"/>
              <w:jc w:val="center"/>
            </w:pPr>
            <w:r>
              <w:t xml:space="preserve">SBS COSMIC 3.4 Signatures </w:t>
            </w:r>
          </w:p>
        </w:tc>
      </w:tr>
      <w:tr w:rsidR="00D37B61" w14:paraId="1F9BCDBB"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1A087C" w14:textId="77777777" w:rsidR="00D37B61" w:rsidRDefault="00000000">
            <w:pPr>
              <w:spacing w:before="40" w:after="40" w:line="240" w:lineRule="auto"/>
              <w:ind w:left="-80"/>
              <w:jc w:val="center"/>
              <w:rPr>
                <w:sz w:val="18"/>
                <w:szCs w:val="18"/>
              </w:rPr>
            </w:pPr>
            <w:r>
              <w:rPr>
                <w:sz w:val="18"/>
                <w:szCs w:val="18"/>
              </w:rPr>
              <w:t xml:space="preserve">Age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9C46D24" w14:textId="77777777" w:rsidR="00D37B61" w:rsidRDefault="00000000">
            <w:pPr>
              <w:spacing w:before="40" w:after="40" w:line="240" w:lineRule="auto"/>
              <w:ind w:left="-80"/>
              <w:jc w:val="center"/>
              <w:rPr>
                <w:sz w:val="18"/>
                <w:szCs w:val="18"/>
              </w:rPr>
            </w:pPr>
            <w:r>
              <w:rPr>
                <w:sz w:val="18"/>
                <w:szCs w:val="18"/>
              </w:rPr>
              <w:t xml:space="preserve">1, 5, 21 </w:t>
            </w:r>
          </w:p>
        </w:tc>
      </w:tr>
      <w:tr w:rsidR="00D37B61" w14:paraId="6F0E6F9C"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73035A2" w14:textId="77777777" w:rsidR="00D37B61" w:rsidRDefault="00000000">
            <w:pPr>
              <w:spacing w:before="40" w:after="40" w:line="240" w:lineRule="auto"/>
              <w:ind w:left="-80"/>
              <w:jc w:val="center"/>
              <w:rPr>
                <w:sz w:val="18"/>
                <w:szCs w:val="18"/>
              </w:rPr>
            </w:pPr>
            <w:r>
              <w:rPr>
                <w:sz w:val="18"/>
                <w:szCs w:val="18"/>
              </w:rPr>
              <w:t xml:space="preserve">APOBEC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F865241" w14:textId="77777777" w:rsidR="00D37B61" w:rsidRDefault="00000000">
            <w:pPr>
              <w:spacing w:before="40" w:after="40" w:line="240" w:lineRule="auto"/>
              <w:ind w:left="-80"/>
              <w:jc w:val="center"/>
              <w:rPr>
                <w:sz w:val="18"/>
                <w:szCs w:val="18"/>
              </w:rPr>
            </w:pPr>
            <w:r>
              <w:rPr>
                <w:sz w:val="18"/>
                <w:szCs w:val="18"/>
              </w:rPr>
              <w:t xml:space="preserve">2, 13 </w:t>
            </w:r>
          </w:p>
        </w:tc>
      </w:tr>
      <w:tr w:rsidR="00D37B61" w14:paraId="6F8DD90F"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7DCB85F" w14:textId="77777777" w:rsidR="00D37B61" w:rsidRDefault="00000000">
            <w:pPr>
              <w:spacing w:before="40" w:after="40" w:line="240" w:lineRule="auto"/>
              <w:ind w:left="-80"/>
              <w:jc w:val="center"/>
              <w:rPr>
                <w:sz w:val="18"/>
                <w:szCs w:val="18"/>
              </w:rPr>
            </w:pPr>
            <w:r>
              <w:rPr>
                <w:sz w:val="18"/>
                <w:szCs w:val="18"/>
              </w:rPr>
              <w:t xml:space="preserve">Chemical Exposure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999E25E" w14:textId="77777777" w:rsidR="00D37B61" w:rsidRDefault="00000000">
            <w:pPr>
              <w:spacing w:before="40" w:after="40" w:line="240" w:lineRule="auto"/>
              <w:ind w:left="-80"/>
              <w:jc w:val="center"/>
              <w:rPr>
                <w:sz w:val="18"/>
                <w:szCs w:val="18"/>
              </w:rPr>
            </w:pPr>
            <w:r>
              <w:rPr>
                <w:sz w:val="18"/>
                <w:szCs w:val="18"/>
              </w:rPr>
              <w:t xml:space="preserve">11, 22, 24, 25, 31, 32, 35, 42, 86, 87, 88, 90, 99 </w:t>
            </w:r>
          </w:p>
        </w:tc>
      </w:tr>
      <w:tr w:rsidR="00D37B61" w14:paraId="29A26102"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FCCF508" w14:textId="77777777" w:rsidR="00D37B61" w:rsidRDefault="00000000">
            <w:pPr>
              <w:spacing w:before="40" w:after="40" w:line="240" w:lineRule="auto"/>
              <w:ind w:left="-80"/>
              <w:jc w:val="center"/>
              <w:rPr>
                <w:sz w:val="18"/>
                <w:szCs w:val="18"/>
              </w:rPr>
            </w:pPr>
            <w:r>
              <w:rPr>
                <w:sz w:val="18"/>
                <w:szCs w:val="18"/>
              </w:rPr>
              <w:t xml:space="preserve">DNA Damage Repair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E112FD" w14:textId="77777777" w:rsidR="00D37B61" w:rsidRDefault="00000000">
            <w:pPr>
              <w:spacing w:before="40" w:after="40" w:line="240" w:lineRule="auto"/>
              <w:ind w:left="-80"/>
              <w:jc w:val="center"/>
              <w:rPr>
                <w:sz w:val="18"/>
                <w:szCs w:val="18"/>
              </w:rPr>
            </w:pPr>
            <w:r>
              <w:rPr>
                <w:sz w:val="18"/>
                <w:szCs w:val="18"/>
              </w:rPr>
              <w:t xml:space="preserve">3, 9, 10,14, 15, 20, 26, 36, 44, 84, 85 </w:t>
            </w:r>
          </w:p>
        </w:tc>
      </w:tr>
      <w:tr w:rsidR="00D37B61" w14:paraId="57F34476"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5704F2F" w14:textId="77777777" w:rsidR="00D37B61" w:rsidRDefault="00000000">
            <w:pPr>
              <w:spacing w:before="40" w:after="40" w:line="240" w:lineRule="auto"/>
              <w:ind w:left="-80"/>
              <w:jc w:val="center"/>
              <w:rPr>
                <w:sz w:val="18"/>
                <w:szCs w:val="18"/>
              </w:rPr>
            </w:pPr>
            <w:r>
              <w:rPr>
                <w:sz w:val="18"/>
                <w:szCs w:val="18"/>
              </w:rPr>
              <w:t xml:space="preserve">Tobacco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09AA686" w14:textId="77777777" w:rsidR="00D37B61" w:rsidRDefault="00000000">
            <w:pPr>
              <w:spacing w:before="40" w:after="40" w:line="240" w:lineRule="auto"/>
              <w:ind w:left="-80"/>
              <w:jc w:val="center"/>
              <w:rPr>
                <w:sz w:val="18"/>
                <w:szCs w:val="18"/>
              </w:rPr>
            </w:pPr>
            <w:r>
              <w:rPr>
                <w:sz w:val="18"/>
                <w:szCs w:val="18"/>
              </w:rPr>
              <w:t xml:space="preserve">4, 92 </w:t>
            </w:r>
          </w:p>
        </w:tc>
      </w:tr>
      <w:tr w:rsidR="00D37B61" w14:paraId="106D87B2"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A963E48" w14:textId="77777777" w:rsidR="00D37B61" w:rsidRDefault="00000000">
            <w:pPr>
              <w:spacing w:before="40" w:after="40" w:line="240" w:lineRule="auto"/>
              <w:ind w:left="-80"/>
              <w:jc w:val="center"/>
              <w:rPr>
                <w:sz w:val="18"/>
                <w:szCs w:val="18"/>
              </w:rPr>
            </w:pPr>
            <w:r>
              <w:rPr>
                <w:sz w:val="18"/>
                <w:szCs w:val="18"/>
              </w:rPr>
              <w:t xml:space="preserve">UV Light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0E01AB5" w14:textId="77777777" w:rsidR="00D37B61" w:rsidRDefault="00000000">
            <w:pPr>
              <w:spacing w:before="40" w:after="40" w:line="240" w:lineRule="auto"/>
              <w:ind w:left="-80"/>
              <w:jc w:val="center"/>
              <w:rPr>
                <w:sz w:val="18"/>
                <w:szCs w:val="18"/>
              </w:rPr>
            </w:pPr>
            <w:r>
              <w:rPr>
                <w:sz w:val="18"/>
                <w:szCs w:val="18"/>
              </w:rPr>
              <w:t>7, 38</w:t>
            </w:r>
          </w:p>
        </w:tc>
      </w:tr>
      <w:tr w:rsidR="00D37B61" w14:paraId="4770919B"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4FB6764" w14:textId="77777777" w:rsidR="00D37B61" w:rsidRDefault="00000000">
            <w:pPr>
              <w:spacing w:before="40" w:after="40" w:line="240" w:lineRule="auto"/>
              <w:ind w:left="-80"/>
              <w:jc w:val="center"/>
              <w:rPr>
                <w:sz w:val="18"/>
                <w:szCs w:val="18"/>
              </w:rPr>
            </w:pPr>
            <w:r>
              <w:rPr>
                <w:sz w:val="18"/>
                <w:szCs w:val="18"/>
              </w:rPr>
              <w:t xml:space="preserve">Unknown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BA5C37" w14:textId="77777777" w:rsidR="00D37B61" w:rsidRDefault="00000000">
            <w:pPr>
              <w:spacing w:before="40" w:after="40" w:line="240" w:lineRule="auto"/>
              <w:ind w:left="-80"/>
              <w:jc w:val="center"/>
              <w:rPr>
                <w:sz w:val="18"/>
                <w:szCs w:val="18"/>
              </w:rPr>
            </w:pPr>
            <w:r>
              <w:rPr>
                <w:sz w:val="18"/>
                <w:szCs w:val="18"/>
              </w:rPr>
              <w:t xml:space="preserve">8,12,16,17,19, 23, 33, 34, 37, 39, 40, 41, 43, 45-60, 89, 91, 93-98 </w:t>
            </w:r>
          </w:p>
        </w:tc>
      </w:tr>
    </w:tbl>
    <w:p w14:paraId="448EC92A" w14:textId="77777777" w:rsidR="00D37B61" w:rsidRDefault="00D37B61">
      <w:pPr>
        <w:spacing w:after="160" w:line="240" w:lineRule="auto"/>
        <w:jc w:val="both"/>
      </w:pPr>
    </w:p>
    <w:p w14:paraId="34C832A4" w14:textId="77777777" w:rsidR="00D37B61" w:rsidRDefault="00000000">
      <w:pPr>
        <w:spacing w:after="160" w:line="240" w:lineRule="auto"/>
        <w:jc w:val="both"/>
      </w:pPr>
      <w:r>
        <w:t xml:space="preserve">Finally, the mutational burdens attributed to each Underlying Process were aggregated across the cohorts, and the mean contributions were shown in the figure.  </w:t>
      </w:r>
    </w:p>
    <w:p w14:paraId="7F4B8402" w14:textId="77777777" w:rsidR="00D37B61" w:rsidRDefault="00000000">
      <w:pPr>
        <w:pStyle w:val="Heading2"/>
        <w:spacing w:after="160" w:line="240" w:lineRule="auto"/>
        <w:jc w:val="both"/>
      </w:pPr>
      <w:bookmarkStart w:id="25" w:name="_q06dostvp8e7" w:colFirst="0" w:colLast="0"/>
      <w:bookmarkEnd w:id="25"/>
      <w:r>
        <w:lastRenderedPageBreak/>
        <w:t xml:space="preserve">Copy Number Alteration Profile </w:t>
      </w:r>
    </w:p>
    <w:p w14:paraId="0F14370B" w14:textId="77777777" w:rsidR="00D37B61" w:rsidRDefault="00000000">
      <w:pPr>
        <w:pStyle w:val="Heading3"/>
        <w:spacing w:before="160" w:line="240" w:lineRule="auto"/>
        <w:jc w:val="both"/>
      </w:pPr>
      <w:bookmarkStart w:id="26" w:name="_ihj5o8vs2czz" w:colFirst="0" w:colLast="0"/>
      <w:bookmarkEnd w:id="26"/>
      <w:r>
        <w:t xml:space="preserve">Summary </w:t>
      </w:r>
    </w:p>
    <w:p w14:paraId="15904D48" w14:textId="77777777" w:rsidR="00D37B61" w:rsidRDefault="00000000">
      <w:pPr>
        <w:spacing w:after="160" w:line="240" w:lineRule="auto"/>
        <w:jc w:val="both"/>
        <w:rPr>
          <w:sz w:val="24"/>
          <w:szCs w:val="24"/>
        </w:rPr>
      </w:pPr>
      <w:r>
        <w:rPr>
          <w:sz w:val="24"/>
          <w:szCs w:val="24"/>
        </w:rPr>
        <w:tab/>
        <w:t xml:space="preserve">This CIRCOS plot </w:t>
      </w:r>
      <w:hyperlink r:id="rId34">
        <w:r>
          <w:rPr>
            <w:color w:val="000000"/>
            <w:sz w:val="24"/>
            <w:szCs w:val="24"/>
          </w:rPr>
          <w:t>(</w:t>
        </w:r>
        <w:proofErr w:type="spellStart"/>
        <w:r>
          <w:rPr>
            <w:color w:val="000000"/>
            <w:sz w:val="24"/>
            <w:szCs w:val="24"/>
          </w:rPr>
          <w:t>Krzywinski</w:t>
        </w:r>
        <w:proofErr w:type="spellEnd"/>
        <w:r>
          <w:rPr>
            <w:color w:val="000000"/>
            <w:sz w:val="24"/>
            <w:szCs w:val="24"/>
          </w:rPr>
          <w:t xml:space="preserve"> et al. 2009)</w:t>
        </w:r>
      </w:hyperlink>
      <w:r>
        <w:rPr>
          <w:sz w:val="24"/>
          <w:szCs w:val="24"/>
        </w:rPr>
        <w:t xml:space="preserve"> provides a high-level summary of recurrent copy number losses and gains across the cohort by genomic position. Driver genes with the frequent amplifications and homozygous deletions are labeled. Estimation of the copy number and driver events is done by</w:t>
      </w:r>
      <w:r>
        <w:t xml:space="preserve"> </w:t>
      </w:r>
      <w:hyperlink r:id="rId35">
        <w:r>
          <w:rPr>
            <w:color w:val="1155CC"/>
            <w:u w:val="single"/>
          </w:rPr>
          <w:t>PURPLE</w:t>
        </w:r>
      </w:hyperlink>
      <w:r>
        <w:t xml:space="preserve"> </w:t>
      </w:r>
      <w:hyperlink r:id="rId36">
        <w:r>
          <w:rPr>
            <w:color w:val="000000"/>
          </w:rPr>
          <w:t>(Priestley et al. 2019)</w:t>
        </w:r>
      </w:hyperlink>
      <w:r>
        <w:rPr>
          <w:sz w:val="24"/>
          <w:szCs w:val="24"/>
        </w:rPr>
        <w:t xml:space="preserve">. The copy number and driver event estimates from PURPLE are available in the data request. </w:t>
      </w:r>
    </w:p>
    <w:p w14:paraId="5BF1840B" w14:textId="77777777" w:rsidR="00D37B61" w:rsidRDefault="00000000">
      <w:pPr>
        <w:spacing w:after="160" w:line="240" w:lineRule="auto"/>
        <w:ind w:left="720"/>
        <w:jc w:val="center"/>
        <w:rPr>
          <w:sz w:val="28"/>
          <w:szCs w:val="28"/>
        </w:rPr>
      </w:pPr>
      <w:r>
        <w:rPr>
          <w:noProof/>
          <w:sz w:val="28"/>
          <w:szCs w:val="28"/>
        </w:rPr>
        <w:drawing>
          <wp:inline distT="114300" distB="114300" distL="114300" distR="114300" wp14:anchorId="21CC8C21" wp14:editId="3F28A1D5">
            <wp:extent cx="3161242" cy="3415381"/>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3161242" cy="3415381"/>
                    </a:xfrm>
                    <a:prstGeom prst="rect">
                      <a:avLst/>
                    </a:prstGeom>
                    <a:ln/>
                  </pic:spPr>
                </pic:pic>
              </a:graphicData>
            </a:graphic>
          </wp:inline>
        </w:drawing>
      </w:r>
    </w:p>
    <w:p w14:paraId="5B637F5F" w14:textId="77777777" w:rsidR="00D37B61" w:rsidRDefault="00000000">
      <w:pPr>
        <w:pStyle w:val="Heading3"/>
        <w:spacing w:after="160" w:line="240" w:lineRule="auto"/>
        <w:jc w:val="both"/>
      </w:pPr>
      <w:bookmarkStart w:id="27" w:name="_7pih7oalszr1" w:colFirst="0" w:colLast="0"/>
      <w:bookmarkEnd w:id="27"/>
      <w:r>
        <w:rPr>
          <w:sz w:val="24"/>
          <w:szCs w:val="24"/>
        </w:rPr>
        <w:t xml:space="preserve"> </w:t>
      </w:r>
      <w:r>
        <w:t xml:space="preserve">Figure Description </w:t>
      </w:r>
    </w:p>
    <w:p w14:paraId="131A5680" w14:textId="77777777" w:rsidR="00D37B61" w:rsidRDefault="00000000">
      <w:pPr>
        <w:spacing w:after="160" w:line="240" w:lineRule="auto"/>
        <w:ind w:firstLine="720"/>
        <w:jc w:val="both"/>
        <w:rPr>
          <w:sz w:val="24"/>
          <w:szCs w:val="24"/>
        </w:rPr>
      </w:pPr>
      <w:r>
        <w:rPr>
          <w:sz w:val="24"/>
          <w:szCs w:val="24"/>
        </w:rPr>
        <w:t xml:space="preserve">The figure shows the proportion of the cohort patients with amplification and deletion events by genomic position. The inner ring shows the percentage of tumors with homozygous deletion (very dark blue), LOH or significant copy number loss (defined by copy number &lt; .6 x sample ploidy; dark blue) and near copy neutral LOH (light blue). The outer ring shows the percentage of tumors with high-level amplification (&gt; 3 x sample ploidy; very dark red), moderate amplification (&gt; 2 x sample ploidy; dark red) and low-level amplification (&gt; 1.4 x sample ploidy; light red). The scale on both rings is 0-100% and inverted for the inner ring. The most frequently observed high-level driver gene amplifications (red text) and homozygous deletions (blue text) are added.  </w:t>
      </w:r>
      <w:r>
        <w:br w:type="page"/>
      </w:r>
    </w:p>
    <w:p w14:paraId="7475310E" w14:textId="77777777" w:rsidR="00D37B61" w:rsidRDefault="00000000">
      <w:pPr>
        <w:pStyle w:val="Heading2"/>
        <w:spacing w:after="160" w:line="240" w:lineRule="auto"/>
        <w:jc w:val="both"/>
      </w:pPr>
      <w:bookmarkStart w:id="28" w:name="_xwoff9fa6a75" w:colFirst="0" w:colLast="0"/>
      <w:bookmarkEnd w:id="28"/>
      <w:r>
        <w:lastRenderedPageBreak/>
        <w:t>Cancer Driver Landscape</w:t>
      </w:r>
      <w:r>
        <w:tab/>
      </w:r>
    </w:p>
    <w:p w14:paraId="4EE7EE01" w14:textId="77777777" w:rsidR="00D37B61" w:rsidRDefault="00000000">
      <w:pPr>
        <w:pStyle w:val="Heading3"/>
        <w:spacing w:before="160" w:line="240" w:lineRule="auto"/>
        <w:jc w:val="both"/>
      </w:pPr>
      <w:bookmarkStart w:id="29" w:name="_6dry6saf6woj" w:colFirst="0" w:colLast="0"/>
      <w:bookmarkEnd w:id="29"/>
      <w:r>
        <w:t xml:space="preserve">Summary </w:t>
      </w:r>
    </w:p>
    <w:p w14:paraId="32A2893C" w14:textId="77777777" w:rsidR="00D37B61" w:rsidRDefault="00000000">
      <w:pPr>
        <w:spacing w:after="160" w:line="240" w:lineRule="auto"/>
        <w:ind w:firstLine="720"/>
        <w:jc w:val="both"/>
      </w:pPr>
      <w:r>
        <w:t xml:space="preserve">The cancer drive landscape figure summarizes the inferred somatic driver events in the database. The amplification, deletion, and mutation based driver events are estimated by </w:t>
      </w:r>
      <w:hyperlink r:id="rId38">
        <w:r>
          <w:rPr>
            <w:color w:val="1155CC"/>
            <w:u w:val="single"/>
          </w:rPr>
          <w:t>PURPLE</w:t>
        </w:r>
      </w:hyperlink>
      <w:r>
        <w:t xml:space="preserve"> </w:t>
      </w:r>
      <w:hyperlink r:id="rId39">
        <w:r>
          <w:rPr>
            <w:color w:val="000000"/>
          </w:rPr>
          <w:t>(Priestley et al. 2019)</w:t>
        </w:r>
      </w:hyperlink>
      <w:r>
        <w:t xml:space="preserve"> while the fusion driver events are annotated by </w:t>
      </w:r>
      <w:hyperlink r:id="rId40">
        <w:r>
          <w:rPr>
            <w:color w:val="1155CC"/>
            <w:u w:val="single"/>
          </w:rPr>
          <w:t>LINX</w:t>
        </w:r>
      </w:hyperlink>
      <w:r>
        <w:t xml:space="preserve"> </w:t>
      </w:r>
      <w:hyperlink r:id="rId41">
        <w:r>
          <w:rPr>
            <w:color w:val="000000"/>
          </w:rPr>
          <w:t>(Shale et al. 2022)</w:t>
        </w:r>
      </w:hyperlink>
      <w:r>
        <w:t xml:space="preserve">. Within PURPLE, driver events are estimated from a panel of 474 genes (see </w:t>
      </w:r>
      <w:hyperlink r:id="rId42">
        <w:r>
          <w:rPr>
            <w:color w:val="1155CC"/>
            <w:u w:val="single"/>
          </w:rPr>
          <w:t>Hartwig Resource files</w:t>
        </w:r>
      </w:hyperlink>
      <w:r>
        <w:t xml:space="preserve">) created initially from the union of </w:t>
      </w:r>
      <w:proofErr w:type="spellStart"/>
      <w:r>
        <w:t>Marticorena</w:t>
      </w:r>
      <w:proofErr w:type="spellEnd"/>
      <w:r>
        <w:t xml:space="preserve"> significantly mutated genes </w:t>
      </w:r>
      <w:hyperlink r:id="rId43">
        <w:r>
          <w:rPr>
            <w:color w:val="000000"/>
          </w:rPr>
          <w:t>(</w:t>
        </w:r>
        <w:proofErr w:type="spellStart"/>
        <w:r>
          <w:rPr>
            <w:color w:val="000000"/>
          </w:rPr>
          <w:t>Martincorena</w:t>
        </w:r>
        <w:proofErr w:type="spellEnd"/>
        <w:r>
          <w:rPr>
            <w:color w:val="000000"/>
          </w:rPr>
          <w:t xml:space="preserve"> et al. 2018)</w:t>
        </w:r>
      </w:hyperlink>
      <w:r>
        <w:t xml:space="preserve">, Cosmic curated genes </w:t>
      </w:r>
      <w:hyperlink r:id="rId44">
        <w:r>
          <w:rPr>
            <w:color w:val="000000"/>
          </w:rPr>
          <w:t>(Forbes et al. 2017)</w:t>
        </w:r>
      </w:hyperlink>
      <w:r>
        <w:t xml:space="preserve">, and significantly mutated genes within the Hartwig database. See the supplementary information of </w:t>
      </w:r>
      <w:hyperlink r:id="rId45">
        <w:r>
          <w:rPr>
            <w:color w:val="000000"/>
          </w:rPr>
          <w:t>(Priestley et al. 2019)</w:t>
        </w:r>
      </w:hyperlink>
      <w:r>
        <w:t xml:space="preserve"> for more detail on the algorithm developed to identify driver events. The output of the predicted driver events from both PURPLE and LINX are available in the data request. Only driver events with predictor driver likelihood greater than 0.8 were included in the vignette figure. </w:t>
      </w:r>
    </w:p>
    <w:p w14:paraId="207799B7" w14:textId="77777777" w:rsidR="00D37B61" w:rsidRDefault="00000000">
      <w:pPr>
        <w:spacing w:after="160" w:line="240" w:lineRule="auto"/>
        <w:jc w:val="both"/>
      </w:pPr>
      <w:r>
        <w:rPr>
          <w:noProof/>
        </w:rPr>
        <w:drawing>
          <wp:inline distT="114300" distB="114300" distL="114300" distR="114300" wp14:anchorId="14D54C09" wp14:editId="55D2BF13">
            <wp:extent cx="5943600" cy="361950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5943600" cy="3619500"/>
                    </a:xfrm>
                    <a:prstGeom prst="rect">
                      <a:avLst/>
                    </a:prstGeom>
                    <a:ln/>
                  </pic:spPr>
                </pic:pic>
              </a:graphicData>
            </a:graphic>
          </wp:inline>
        </w:drawing>
      </w:r>
    </w:p>
    <w:p w14:paraId="2750CFEF" w14:textId="77777777" w:rsidR="00D37B61" w:rsidRDefault="00000000">
      <w:pPr>
        <w:pStyle w:val="Heading3"/>
        <w:spacing w:after="160" w:line="240" w:lineRule="auto"/>
        <w:jc w:val="both"/>
      </w:pPr>
      <w:bookmarkStart w:id="30" w:name="_i28ldjk943ks" w:colFirst="0" w:colLast="0"/>
      <w:bookmarkEnd w:id="30"/>
      <w:r>
        <w:t xml:space="preserve"> Figure Description </w:t>
      </w:r>
    </w:p>
    <w:p w14:paraId="6245BE1E" w14:textId="77777777" w:rsidR="00D37B61" w:rsidRDefault="00000000">
      <w:pPr>
        <w:spacing w:after="160" w:line="240" w:lineRule="auto"/>
        <w:ind w:firstLine="720"/>
        <w:jc w:val="both"/>
      </w:pPr>
      <w:r>
        <w:t xml:space="preserve">In the </w:t>
      </w:r>
      <w:r>
        <w:rPr>
          <w:u w:val="single"/>
        </w:rPr>
        <w:t># Events</w:t>
      </w:r>
      <w:r>
        <w:t xml:space="preserve"> figure shown on the left, the distribution of the # driver events output per patient are summarized. The number of events is summarized within the bars and relative percentages within cohorts is shown outside the bars. Pan-cancer in gray is added as a reference for comparison.  The specified size groupings of (None, 1-2, 3+) for Tumor Suppressors (TSGs) and Oncogenes and (None, 1-5, 6+) for Overall are arbitrary and simply chosen to highlight roughly the distribution of driver event counts. </w:t>
      </w:r>
    </w:p>
    <w:p w14:paraId="289B6AE1" w14:textId="77777777" w:rsidR="00D37B61" w:rsidRDefault="00000000">
      <w:pPr>
        <w:spacing w:after="160" w:line="240" w:lineRule="auto"/>
        <w:ind w:firstLine="720"/>
        <w:jc w:val="both"/>
      </w:pPr>
      <w:r>
        <w:t xml:space="preserve">In the middle </w:t>
      </w:r>
      <w:r>
        <w:rPr>
          <w:u w:val="single"/>
        </w:rPr>
        <w:t>Summary</w:t>
      </w:r>
      <w:r>
        <w:t xml:space="preserve"> figure, driver genes are ordered from top to bottom according to their frequencies within the cohort.  The Type column indicates whether the genes are labeled Tumor Suppressors (TSG) or Oncogenes (ONC). The cohort's name (%) and Pan-Cancer (%) fields show the prevalence of the events within the cohort. For the Direction field, the up and down </w:t>
      </w:r>
      <w:r>
        <w:lastRenderedPageBreak/>
        <w:t xml:space="preserve">arrows are added to highlight clearer differences as compared with the Pan-Cancer cohort. An up arrow indicates that either the absolute percentage difference was greater than 5%, or the relative difference was greater than 3 times that of Pan-Cancer; while a down arrow indicates either the absolute difference is less than 5% below, or the relative difference is less than 1/3 of Pan-Cancer.  </w:t>
      </w:r>
    </w:p>
    <w:p w14:paraId="6D5FF561" w14:textId="77777777" w:rsidR="00D37B61" w:rsidRDefault="00000000">
      <w:pPr>
        <w:spacing w:after="160" w:line="240" w:lineRule="auto"/>
        <w:ind w:firstLine="720"/>
        <w:jc w:val="both"/>
      </w:pPr>
      <w:r>
        <w:t xml:space="preserve">In the right aligned </w:t>
      </w:r>
      <w:r>
        <w:rPr>
          <w:u w:val="single"/>
        </w:rPr>
        <w:t xml:space="preserve">Top cancer </w:t>
      </w:r>
      <w:proofErr w:type="gramStart"/>
      <w:r>
        <w:rPr>
          <w:u w:val="single"/>
        </w:rPr>
        <w:t>drivers</w:t>
      </w:r>
      <w:proofErr w:type="gramEnd"/>
      <w:r>
        <w:t xml:space="preserve"> figure, the order of the gene rows from top to bottom match those in the </w:t>
      </w:r>
      <w:r>
        <w:rPr>
          <w:u w:val="single"/>
        </w:rPr>
        <w:t>Summary</w:t>
      </w:r>
      <w:r>
        <w:t xml:space="preserve"> figure. Only patients with at least one driver event were included in this figure, and the total number of patients included labeled on x-axis. The color coding for the event types is based on grouping of the output from the driver catalog. The following table shows the grouping for the driver event types: </w:t>
      </w:r>
    </w:p>
    <w:tbl>
      <w:tblPr>
        <w:tblStyle w:val="a0"/>
        <w:tblW w:w="93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41"/>
        <w:gridCol w:w="6918"/>
      </w:tblGrid>
      <w:tr w:rsidR="00D37B61" w14:paraId="6A35DBA5"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5557A8F" w14:textId="77777777" w:rsidR="00D37B61" w:rsidRDefault="00000000">
            <w:pPr>
              <w:spacing w:before="40" w:after="40" w:line="240" w:lineRule="auto"/>
              <w:ind w:left="-80"/>
              <w:jc w:val="center"/>
            </w:pPr>
            <w:r>
              <w:t xml:space="preserve">Event Type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B4B7E38" w14:textId="77777777" w:rsidR="00D37B61" w:rsidRDefault="00000000">
            <w:pPr>
              <w:spacing w:before="40" w:after="40" w:line="240" w:lineRule="auto"/>
              <w:ind w:left="-80"/>
              <w:jc w:val="center"/>
            </w:pPr>
            <w:r>
              <w:t xml:space="preserve">Groupings </w:t>
            </w:r>
          </w:p>
        </w:tc>
      </w:tr>
      <w:tr w:rsidR="00D37B61" w14:paraId="4AF78AD2"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F3836B6" w14:textId="77777777" w:rsidR="00D37B61" w:rsidRDefault="00000000">
            <w:pPr>
              <w:spacing w:before="40" w:after="40" w:line="240" w:lineRule="auto"/>
              <w:ind w:left="-80"/>
              <w:jc w:val="center"/>
            </w:pPr>
            <w:r>
              <w:t xml:space="preserve">Amplification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A97C1EE" w14:textId="77777777" w:rsidR="00D37B61" w:rsidRDefault="00000000">
            <w:pPr>
              <w:spacing w:before="40" w:after="40" w:line="240" w:lineRule="auto"/>
              <w:ind w:left="-80"/>
              <w:jc w:val="center"/>
            </w:pPr>
            <w:r>
              <w:t xml:space="preserve">Partial of Full Amplification </w:t>
            </w:r>
          </w:p>
        </w:tc>
      </w:tr>
      <w:tr w:rsidR="00D37B61" w14:paraId="74108D45"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5957F72" w14:textId="77777777" w:rsidR="00D37B61" w:rsidRDefault="00000000">
            <w:pPr>
              <w:spacing w:before="40" w:after="40" w:line="240" w:lineRule="auto"/>
              <w:ind w:left="-80"/>
              <w:jc w:val="center"/>
            </w:pPr>
            <w:r>
              <w:t xml:space="preserve">Deletion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346F422" w14:textId="77777777" w:rsidR="00D37B61" w:rsidRDefault="00000000">
            <w:pPr>
              <w:spacing w:before="40" w:after="40" w:line="240" w:lineRule="auto"/>
              <w:ind w:left="-80"/>
              <w:jc w:val="center"/>
            </w:pPr>
            <w:r>
              <w:t xml:space="preserve">Deletions or Homozygous Disruptions </w:t>
            </w:r>
          </w:p>
        </w:tc>
      </w:tr>
      <w:tr w:rsidR="00D37B61" w14:paraId="1DC30A4D"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0896DD" w14:textId="77777777" w:rsidR="00D37B61" w:rsidRDefault="00000000">
            <w:pPr>
              <w:spacing w:before="40" w:after="40" w:line="240" w:lineRule="auto"/>
              <w:ind w:left="-80"/>
              <w:jc w:val="center"/>
            </w:pPr>
            <w:r>
              <w:t xml:space="preserve">Mutation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6906D6E" w14:textId="77777777" w:rsidR="00D37B61" w:rsidRDefault="00000000">
            <w:pPr>
              <w:spacing w:before="40" w:after="40" w:line="240" w:lineRule="auto"/>
              <w:ind w:left="-80"/>
              <w:jc w:val="center"/>
            </w:pPr>
            <w:r>
              <w:t xml:space="preserve">Somatic mutations </w:t>
            </w:r>
          </w:p>
        </w:tc>
      </w:tr>
      <w:tr w:rsidR="00D37B61" w14:paraId="5EEA0805"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E6EF0AE" w14:textId="77777777" w:rsidR="00D37B61" w:rsidRDefault="00000000">
            <w:pPr>
              <w:spacing w:before="40" w:after="40" w:line="240" w:lineRule="auto"/>
              <w:ind w:left="-80"/>
              <w:jc w:val="center"/>
            </w:pPr>
            <w:r>
              <w:t xml:space="preserve">Fusion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1432B4" w14:textId="77777777" w:rsidR="00D37B61" w:rsidRDefault="00000000">
            <w:pPr>
              <w:spacing w:before="40" w:after="40" w:line="240" w:lineRule="auto"/>
              <w:ind w:left="-80"/>
              <w:jc w:val="center"/>
            </w:pPr>
            <w:r>
              <w:t xml:space="preserve">Fusions </w:t>
            </w:r>
          </w:p>
        </w:tc>
      </w:tr>
    </w:tbl>
    <w:p w14:paraId="53427F7B" w14:textId="77777777" w:rsidR="00D37B61" w:rsidRDefault="00000000">
      <w:pPr>
        <w:spacing w:after="160" w:line="240" w:lineRule="auto"/>
        <w:jc w:val="both"/>
        <w:rPr>
          <w:sz w:val="24"/>
          <w:szCs w:val="24"/>
        </w:rPr>
      </w:pPr>
      <w:r>
        <w:rPr>
          <w:sz w:val="24"/>
          <w:szCs w:val="24"/>
        </w:rPr>
        <w:t xml:space="preserve"> </w:t>
      </w:r>
    </w:p>
    <w:p w14:paraId="39217F74" w14:textId="77777777" w:rsidR="00D37B61" w:rsidRDefault="00000000">
      <w:pPr>
        <w:pStyle w:val="Heading2"/>
        <w:spacing w:line="240" w:lineRule="auto"/>
      </w:pPr>
      <w:bookmarkStart w:id="31" w:name="_bk0ictukme2p" w:colFirst="0" w:colLast="0"/>
      <w:bookmarkEnd w:id="31"/>
      <w:r>
        <w:br w:type="page"/>
      </w:r>
    </w:p>
    <w:p w14:paraId="552362F3" w14:textId="77777777" w:rsidR="00D37B61" w:rsidRDefault="00000000">
      <w:pPr>
        <w:pStyle w:val="Heading2"/>
        <w:spacing w:line="240" w:lineRule="auto"/>
      </w:pPr>
      <w:bookmarkStart w:id="32" w:name="_u7kmplk0w09e" w:colFirst="0" w:colLast="0"/>
      <w:bookmarkEnd w:id="32"/>
      <w:r>
        <w:lastRenderedPageBreak/>
        <w:t xml:space="preserve">Potentially Actionable Events </w:t>
      </w:r>
    </w:p>
    <w:p w14:paraId="4997EE00" w14:textId="77777777" w:rsidR="00D37B61" w:rsidRDefault="00000000">
      <w:pPr>
        <w:pStyle w:val="Heading3"/>
        <w:spacing w:before="160" w:line="240" w:lineRule="auto"/>
        <w:jc w:val="both"/>
      </w:pPr>
      <w:bookmarkStart w:id="33" w:name="_e0tmip2bik4n" w:colFirst="0" w:colLast="0"/>
      <w:bookmarkEnd w:id="33"/>
      <w:r>
        <w:t xml:space="preserve">Summary </w:t>
      </w:r>
    </w:p>
    <w:p w14:paraId="64925B27" w14:textId="77777777" w:rsidR="00D37B61" w:rsidRDefault="00000000">
      <w:pPr>
        <w:spacing w:after="160" w:line="240" w:lineRule="auto"/>
        <w:ind w:firstLine="720"/>
        <w:jc w:val="both"/>
      </w:pPr>
      <w:r>
        <w:t xml:space="preserve">This figure displays the genomic events labeled as potentially actionable using reference the Jackson Laboratory </w:t>
      </w:r>
      <w:hyperlink r:id="rId47">
        <w:r>
          <w:rPr>
            <w:color w:val="1155CC"/>
            <w:u w:val="single"/>
          </w:rPr>
          <w:t>Clinical Knowledgebase</w:t>
        </w:r>
      </w:hyperlink>
      <w:r>
        <w:t xml:space="preserve"> </w:t>
      </w:r>
      <w:hyperlink r:id="rId48">
        <w:r>
          <w:t>(Patterson et al. 2016)</w:t>
        </w:r>
      </w:hyperlink>
      <w:r>
        <w:t xml:space="preserve"> (JAX, </w:t>
      </w:r>
      <w:hyperlink r:id="rId49">
        <w:proofErr w:type="spellStart"/>
        <w:r>
          <w:rPr>
            <w:color w:val="1155CC"/>
            <w:u w:val="single"/>
          </w:rPr>
          <w:t>Genomenon</w:t>
        </w:r>
        <w:proofErr w:type="spellEnd"/>
      </w:hyperlink>
      <w:r>
        <w:t xml:space="preserve">). Only reported events by the </w:t>
      </w:r>
      <w:hyperlink r:id="rId50">
        <w:r>
          <w:rPr>
            <w:color w:val="1155CC"/>
            <w:u w:val="single"/>
          </w:rPr>
          <w:t>PROTECT</w:t>
        </w:r>
      </w:hyperlink>
      <w:r>
        <w:t xml:space="preserve"> (Personalized Report on Treatment and Eligibility for Clinical Trials) tool with evidence levels A (On or Off-Label), B (On or Off-Label), or C On-label are included. These events correspond to the biomarkers that predict response reported in the Hartwig ORANGE report. </w:t>
      </w:r>
    </w:p>
    <w:p w14:paraId="5DBFC93F" w14:textId="77777777" w:rsidR="00D37B61" w:rsidRDefault="00000000">
      <w:pPr>
        <w:spacing w:after="160" w:line="240" w:lineRule="auto"/>
        <w:ind w:firstLine="720"/>
        <w:jc w:val="both"/>
      </w:pPr>
      <w:r>
        <w:t xml:space="preserve">The biomarkers are categorized into best evidence level groups derived from CKB labels that follow guidelines described in </w:t>
      </w:r>
      <w:hyperlink r:id="rId51">
        <w:r>
          <w:rPr>
            <w:color w:val="000000"/>
          </w:rPr>
          <w:t>(Li et al. 2017)</w:t>
        </w:r>
      </w:hyperlink>
      <w:r>
        <w:t xml:space="preserve">. The 4 groups are defined in the table below ordered from highest to lowest evidence level. </w:t>
      </w:r>
    </w:p>
    <w:tbl>
      <w:tblPr>
        <w:tblStyle w:val="a1"/>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905"/>
        <w:gridCol w:w="5850"/>
      </w:tblGrid>
      <w:tr w:rsidR="00D37B61" w14:paraId="7AE539EB" w14:textId="77777777">
        <w:tc>
          <w:tcPr>
            <w:tcW w:w="1815" w:type="dxa"/>
            <w:shd w:val="clear" w:color="auto" w:fill="auto"/>
            <w:tcMar>
              <w:top w:w="100" w:type="dxa"/>
              <w:left w:w="100" w:type="dxa"/>
              <w:bottom w:w="100" w:type="dxa"/>
              <w:right w:w="100" w:type="dxa"/>
            </w:tcMar>
            <w:vAlign w:val="center"/>
          </w:tcPr>
          <w:p w14:paraId="21986D2D" w14:textId="77777777" w:rsidR="00D37B61" w:rsidRDefault="00000000">
            <w:pPr>
              <w:widowControl w:val="0"/>
              <w:pBdr>
                <w:top w:val="nil"/>
                <w:left w:val="nil"/>
                <w:bottom w:val="nil"/>
                <w:right w:val="nil"/>
                <w:between w:val="nil"/>
              </w:pBdr>
              <w:spacing w:line="240" w:lineRule="auto"/>
              <w:jc w:val="center"/>
            </w:pPr>
            <w:r>
              <w:t>Evidence Group</w:t>
            </w:r>
          </w:p>
        </w:tc>
        <w:tc>
          <w:tcPr>
            <w:tcW w:w="1905" w:type="dxa"/>
            <w:shd w:val="clear" w:color="auto" w:fill="auto"/>
            <w:tcMar>
              <w:top w:w="100" w:type="dxa"/>
              <w:left w:w="100" w:type="dxa"/>
              <w:bottom w:w="100" w:type="dxa"/>
              <w:right w:w="100" w:type="dxa"/>
            </w:tcMar>
            <w:vAlign w:val="center"/>
          </w:tcPr>
          <w:p w14:paraId="6FA1116A" w14:textId="77777777" w:rsidR="00D37B61" w:rsidRDefault="00000000">
            <w:pPr>
              <w:widowControl w:val="0"/>
              <w:pBdr>
                <w:top w:val="nil"/>
                <w:left w:val="nil"/>
                <w:bottom w:val="nil"/>
                <w:right w:val="nil"/>
                <w:between w:val="nil"/>
              </w:pBdr>
              <w:spacing w:line="240" w:lineRule="auto"/>
              <w:jc w:val="center"/>
            </w:pPr>
            <w:r>
              <w:t>Evidence in CKB</w:t>
            </w:r>
          </w:p>
        </w:tc>
        <w:tc>
          <w:tcPr>
            <w:tcW w:w="5850" w:type="dxa"/>
            <w:shd w:val="clear" w:color="auto" w:fill="auto"/>
            <w:tcMar>
              <w:top w:w="100" w:type="dxa"/>
              <w:left w:w="100" w:type="dxa"/>
              <w:bottom w:w="100" w:type="dxa"/>
              <w:right w:w="100" w:type="dxa"/>
            </w:tcMar>
            <w:vAlign w:val="center"/>
          </w:tcPr>
          <w:p w14:paraId="112606F2" w14:textId="77777777" w:rsidR="00D37B61" w:rsidRDefault="00000000">
            <w:pPr>
              <w:widowControl w:val="0"/>
              <w:pBdr>
                <w:top w:val="nil"/>
                <w:left w:val="nil"/>
                <w:bottom w:val="nil"/>
                <w:right w:val="nil"/>
                <w:between w:val="nil"/>
              </w:pBdr>
              <w:spacing w:line="240" w:lineRule="auto"/>
              <w:jc w:val="center"/>
            </w:pPr>
            <w:r>
              <w:t>Description based on (</w:t>
            </w:r>
            <w:hyperlink r:id="rId52">
              <w:r>
                <w:rPr>
                  <w:color w:val="000000"/>
                </w:rPr>
                <w:t>(Li et al. 2017)</w:t>
              </w:r>
            </w:hyperlink>
          </w:p>
        </w:tc>
      </w:tr>
      <w:tr w:rsidR="00D37B61" w14:paraId="7E199471" w14:textId="77777777">
        <w:tc>
          <w:tcPr>
            <w:tcW w:w="1815" w:type="dxa"/>
            <w:shd w:val="clear" w:color="auto" w:fill="auto"/>
            <w:tcMar>
              <w:top w:w="100" w:type="dxa"/>
              <w:left w:w="100" w:type="dxa"/>
              <w:bottom w:w="100" w:type="dxa"/>
              <w:right w:w="100" w:type="dxa"/>
            </w:tcMar>
            <w:vAlign w:val="center"/>
          </w:tcPr>
          <w:p w14:paraId="46EBDB91"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FDA Approved</w:t>
            </w:r>
          </w:p>
        </w:tc>
        <w:tc>
          <w:tcPr>
            <w:tcW w:w="1905" w:type="dxa"/>
            <w:shd w:val="clear" w:color="auto" w:fill="auto"/>
            <w:tcMar>
              <w:top w:w="100" w:type="dxa"/>
              <w:left w:w="100" w:type="dxa"/>
              <w:bottom w:w="100" w:type="dxa"/>
              <w:right w:w="100" w:type="dxa"/>
            </w:tcMar>
            <w:vAlign w:val="center"/>
          </w:tcPr>
          <w:p w14:paraId="6153126E"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A On-Label</w:t>
            </w:r>
          </w:p>
        </w:tc>
        <w:tc>
          <w:tcPr>
            <w:tcW w:w="5850" w:type="dxa"/>
            <w:shd w:val="clear" w:color="auto" w:fill="auto"/>
            <w:tcMar>
              <w:top w:w="100" w:type="dxa"/>
              <w:left w:w="100" w:type="dxa"/>
              <w:bottom w:w="100" w:type="dxa"/>
              <w:right w:w="100" w:type="dxa"/>
            </w:tcMar>
            <w:vAlign w:val="center"/>
          </w:tcPr>
          <w:p w14:paraId="4AF6EE1C"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FDA-approved therapy included in professional guidelines.</w:t>
            </w:r>
          </w:p>
        </w:tc>
      </w:tr>
      <w:tr w:rsidR="00D37B61" w14:paraId="3EE59CEC" w14:textId="77777777">
        <w:tc>
          <w:tcPr>
            <w:tcW w:w="1815" w:type="dxa"/>
            <w:shd w:val="clear" w:color="auto" w:fill="auto"/>
            <w:tcMar>
              <w:top w:w="100" w:type="dxa"/>
              <w:left w:w="100" w:type="dxa"/>
              <w:bottom w:w="100" w:type="dxa"/>
              <w:right w:w="100" w:type="dxa"/>
            </w:tcMar>
            <w:vAlign w:val="center"/>
          </w:tcPr>
          <w:p w14:paraId="36609EF3"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Drug Repurposing</w:t>
            </w:r>
          </w:p>
        </w:tc>
        <w:tc>
          <w:tcPr>
            <w:tcW w:w="1905" w:type="dxa"/>
            <w:shd w:val="clear" w:color="auto" w:fill="auto"/>
            <w:tcMar>
              <w:top w:w="100" w:type="dxa"/>
              <w:left w:w="100" w:type="dxa"/>
              <w:bottom w:w="100" w:type="dxa"/>
              <w:right w:w="100" w:type="dxa"/>
            </w:tcMar>
            <w:vAlign w:val="center"/>
          </w:tcPr>
          <w:p w14:paraId="33BE9955"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A Off-Label</w:t>
            </w:r>
          </w:p>
        </w:tc>
        <w:tc>
          <w:tcPr>
            <w:tcW w:w="5850" w:type="dxa"/>
            <w:shd w:val="clear" w:color="auto" w:fill="auto"/>
            <w:tcMar>
              <w:top w:w="100" w:type="dxa"/>
              <w:left w:w="100" w:type="dxa"/>
              <w:bottom w:w="100" w:type="dxa"/>
              <w:right w:w="100" w:type="dxa"/>
            </w:tcMar>
            <w:vAlign w:val="center"/>
          </w:tcPr>
          <w:p w14:paraId="320D2F8A"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 xml:space="preserve">FDA Approved therapy in different tumor types. *Vast majority of </w:t>
            </w:r>
            <w:proofErr w:type="spellStart"/>
            <w:r>
              <w:rPr>
                <w:sz w:val="18"/>
                <w:szCs w:val="18"/>
              </w:rPr>
              <w:t>A</w:t>
            </w:r>
            <w:proofErr w:type="spellEnd"/>
            <w:r>
              <w:rPr>
                <w:sz w:val="18"/>
                <w:szCs w:val="18"/>
              </w:rPr>
              <w:t xml:space="preserve"> Off-Label events also have B On-Label evidence in the CKB database. </w:t>
            </w:r>
          </w:p>
        </w:tc>
      </w:tr>
      <w:tr w:rsidR="00D37B61" w14:paraId="1E5C1518" w14:textId="77777777">
        <w:tc>
          <w:tcPr>
            <w:tcW w:w="1815" w:type="dxa"/>
            <w:shd w:val="clear" w:color="auto" w:fill="auto"/>
            <w:tcMar>
              <w:top w:w="100" w:type="dxa"/>
              <w:left w:w="100" w:type="dxa"/>
              <w:bottom w:w="100" w:type="dxa"/>
              <w:right w:w="100" w:type="dxa"/>
            </w:tcMar>
            <w:vAlign w:val="center"/>
          </w:tcPr>
          <w:p w14:paraId="09C1D0C5"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Experimental/</w:t>
            </w:r>
          </w:p>
          <w:p w14:paraId="6B72D088"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Other Guidelines</w:t>
            </w:r>
          </w:p>
        </w:tc>
        <w:tc>
          <w:tcPr>
            <w:tcW w:w="1905" w:type="dxa"/>
            <w:shd w:val="clear" w:color="auto" w:fill="auto"/>
            <w:tcMar>
              <w:top w:w="100" w:type="dxa"/>
              <w:left w:w="100" w:type="dxa"/>
              <w:bottom w:w="100" w:type="dxa"/>
              <w:right w:w="100" w:type="dxa"/>
            </w:tcMar>
            <w:vAlign w:val="center"/>
          </w:tcPr>
          <w:p w14:paraId="2EB6EFBD"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B On-Label</w:t>
            </w:r>
          </w:p>
        </w:tc>
        <w:tc>
          <w:tcPr>
            <w:tcW w:w="5850" w:type="dxa"/>
            <w:shd w:val="clear" w:color="auto" w:fill="auto"/>
            <w:tcMar>
              <w:top w:w="100" w:type="dxa"/>
              <w:left w:w="100" w:type="dxa"/>
              <w:bottom w:w="100" w:type="dxa"/>
              <w:right w:w="100" w:type="dxa"/>
            </w:tcMar>
            <w:vAlign w:val="center"/>
          </w:tcPr>
          <w:p w14:paraId="3B17E294"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Well-powered studies with consensus from experts in the field.</w:t>
            </w:r>
          </w:p>
        </w:tc>
      </w:tr>
      <w:tr w:rsidR="00D37B61" w14:paraId="18F94021" w14:textId="77777777">
        <w:trPr>
          <w:trHeight w:val="1022"/>
        </w:trPr>
        <w:tc>
          <w:tcPr>
            <w:tcW w:w="1815" w:type="dxa"/>
            <w:shd w:val="clear" w:color="auto" w:fill="auto"/>
            <w:tcMar>
              <w:top w:w="100" w:type="dxa"/>
              <w:left w:w="100" w:type="dxa"/>
              <w:bottom w:w="100" w:type="dxa"/>
              <w:right w:w="100" w:type="dxa"/>
            </w:tcMar>
            <w:vAlign w:val="center"/>
          </w:tcPr>
          <w:p w14:paraId="4DA1FE94"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Other</w:t>
            </w:r>
          </w:p>
        </w:tc>
        <w:tc>
          <w:tcPr>
            <w:tcW w:w="1905" w:type="dxa"/>
            <w:shd w:val="clear" w:color="auto" w:fill="auto"/>
            <w:tcMar>
              <w:top w:w="100" w:type="dxa"/>
              <w:left w:w="100" w:type="dxa"/>
              <w:bottom w:w="100" w:type="dxa"/>
              <w:right w:w="100" w:type="dxa"/>
            </w:tcMar>
            <w:vAlign w:val="center"/>
          </w:tcPr>
          <w:p w14:paraId="5AB04AD5" w14:textId="77777777" w:rsidR="00D37B61" w:rsidRDefault="00000000">
            <w:pPr>
              <w:widowControl w:val="0"/>
              <w:pBdr>
                <w:top w:val="nil"/>
                <w:left w:val="nil"/>
                <w:bottom w:val="nil"/>
                <w:right w:val="nil"/>
                <w:between w:val="nil"/>
              </w:pBdr>
              <w:spacing w:line="240" w:lineRule="auto"/>
              <w:rPr>
                <w:sz w:val="18"/>
                <w:szCs w:val="18"/>
              </w:rPr>
            </w:pPr>
            <w:r>
              <w:rPr>
                <w:sz w:val="18"/>
                <w:szCs w:val="18"/>
              </w:rPr>
              <w:t xml:space="preserve">        B Off-Label, </w:t>
            </w:r>
          </w:p>
          <w:p w14:paraId="3833A9C4"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C On-Label</w:t>
            </w:r>
          </w:p>
        </w:tc>
        <w:tc>
          <w:tcPr>
            <w:tcW w:w="5850" w:type="dxa"/>
            <w:shd w:val="clear" w:color="auto" w:fill="auto"/>
            <w:tcMar>
              <w:top w:w="100" w:type="dxa"/>
              <w:left w:w="100" w:type="dxa"/>
              <w:bottom w:w="100" w:type="dxa"/>
              <w:right w:w="100" w:type="dxa"/>
            </w:tcMar>
            <w:vAlign w:val="center"/>
          </w:tcPr>
          <w:p w14:paraId="31049C9F" w14:textId="77777777" w:rsidR="00D37B61" w:rsidRDefault="00000000">
            <w:pPr>
              <w:widowControl w:val="0"/>
              <w:pBdr>
                <w:top w:val="nil"/>
                <w:left w:val="nil"/>
                <w:bottom w:val="nil"/>
                <w:right w:val="nil"/>
                <w:between w:val="nil"/>
              </w:pBdr>
              <w:spacing w:line="240" w:lineRule="auto"/>
              <w:jc w:val="center"/>
              <w:rPr>
                <w:sz w:val="18"/>
                <w:szCs w:val="18"/>
              </w:rPr>
            </w:pPr>
            <w:r>
              <w:rPr>
                <w:sz w:val="18"/>
                <w:szCs w:val="18"/>
              </w:rPr>
              <w:t xml:space="preserve">FDA Approved therapies or well power study within a different tumor type (but no well powered study within tumor type), or multiple </w:t>
            </w:r>
            <w:proofErr w:type="gramStart"/>
            <w:r>
              <w:rPr>
                <w:sz w:val="18"/>
                <w:szCs w:val="18"/>
              </w:rPr>
              <w:t>small published</w:t>
            </w:r>
            <w:proofErr w:type="gramEnd"/>
            <w:r>
              <w:rPr>
                <w:sz w:val="18"/>
                <w:szCs w:val="18"/>
              </w:rPr>
              <w:t xml:space="preserve"> studies with some consensus.</w:t>
            </w:r>
          </w:p>
        </w:tc>
      </w:tr>
    </w:tbl>
    <w:p w14:paraId="2D1DE697" w14:textId="77777777" w:rsidR="00D37B61" w:rsidRDefault="00D37B61">
      <w:pPr>
        <w:spacing w:after="160" w:line="240" w:lineRule="auto"/>
        <w:jc w:val="both"/>
      </w:pPr>
    </w:p>
    <w:p w14:paraId="6F23F5F6" w14:textId="77777777" w:rsidR="00D37B61" w:rsidRDefault="00000000">
      <w:pPr>
        <w:spacing w:after="160" w:line="240" w:lineRule="auto"/>
        <w:jc w:val="center"/>
      </w:pPr>
      <w:r>
        <w:rPr>
          <w:noProof/>
        </w:rPr>
        <w:drawing>
          <wp:inline distT="114300" distB="114300" distL="114300" distR="114300" wp14:anchorId="10F91286" wp14:editId="3E485142">
            <wp:extent cx="5943600" cy="31242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3"/>
                    <a:srcRect/>
                    <a:stretch>
                      <a:fillRect/>
                    </a:stretch>
                  </pic:blipFill>
                  <pic:spPr>
                    <a:xfrm>
                      <a:off x="0" y="0"/>
                      <a:ext cx="5943600" cy="3124200"/>
                    </a:xfrm>
                    <a:prstGeom prst="rect">
                      <a:avLst/>
                    </a:prstGeom>
                    <a:ln/>
                  </pic:spPr>
                </pic:pic>
              </a:graphicData>
            </a:graphic>
          </wp:inline>
        </w:drawing>
      </w:r>
    </w:p>
    <w:p w14:paraId="519FC6AB" w14:textId="77777777" w:rsidR="00D37B61" w:rsidRDefault="00000000">
      <w:pPr>
        <w:pStyle w:val="Heading3"/>
        <w:spacing w:line="240" w:lineRule="auto"/>
      </w:pPr>
      <w:bookmarkStart w:id="34" w:name="_vimchnb8x2ce" w:colFirst="0" w:colLast="0"/>
      <w:bookmarkEnd w:id="34"/>
      <w:r>
        <w:lastRenderedPageBreak/>
        <w:t xml:space="preserve"> Figure Description </w:t>
      </w:r>
    </w:p>
    <w:p w14:paraId="799561F6" w14:textId="77777777" w:rsidR="00D37B61" w:rsidRDefault="00000000">
      <w:pPr>
        <w:spacing w:after="160" w:line="240" w:lineRule="auto"/>
        <w:ind w:firstLine="720"/>
        <w:jc w:val="both"/>
      </w:pPr>
      <w:r>
        <w:t xml:space="preserve">In the </w:t>
      </w:r>
      <w:r>
        <w:rPr>
          <w:u w:val="single"/>
        </w:rPr>
        <w:t># Events</w:t>
      </w:r>
      <w:r>
        <w:t xml:space="preserve"> figure shown on the left, the top </w:t>
      </w:r>
      <w:r>
        <w:rPr>
          <w:u w:val="single"/>
        </w:rPr>
        <w:t>Actionable</w:t>
      </w:r>
      <w:r>
        <w:t xml:space="preserve"> facet shows the distribution of the # of all potentially actionable events across patients. The number of events is summarized within the bars and relative percentages within cohorts is shown outside the bars.  The bottom </w:t>
      </w:r>
      <w:proofErr w:type="gramStart"/>
      <w:r>
        <w:rPr>
          <w:u w:val="single"/>
        </w:rPr>
        <w:t>Best</w:t>
      </w:r>
      <w:proofErr w:type="gramEnd"/>
      <w:r>
        <w:rPr>
          <w:u w:val="single"/>
        </w:rPr>
        <w:t xml:space="preserve"> treatment option</w:t>
      </w:r>
      <w:r>
        <w:t xml:space="preserve"> facet plot shows the distribution across patients of the best possible treatment option according to evidence level within the bars (ordered by FDA Approved, Drug Repurposing, Experimental/Other Guidelines, Other) and displays the relative percentages within cohorts outside the bars.  </w:t>
      </w:r>
    </w:p>
    <w:p w14:paraId="72DC2462" w14:textId="77777777" w:rsidR="00D37B61" w:rsidRDefault="00000000">
      <w:pPr>
        <w:spacing w:after="160" w:line="240" w:lineRule="auto"/>
        <w:ind w:firstLine="720"/>
        <w:jc w:val="both"/>
      </w:pPr>
      <w:r>
        <w:t xml:space="preserve">In the middle </w:t>
      </w:r>
      <w:r>
        <w:rPr>
          <w:u w:val="single"/>
        </w:rPr>
        <w:t>Summary</w:t>
      </w:r>
      <w:r>
        <w:t xml:space="preserve"> figure, the potentially actionable events are ordered row-wise from high to low according to their frequencies within the cohort. The cohort's name (%) and Pan-Cancer (%) fields show the prevalence of the events within the cohort. For the Direction field, the up and down arrows are added to highlight clearer differences with the Pan-Cancer cohort. An up arrow indicates that either the absolute percentage difference was greater than 5%, or the relative difference was greater than 3 times that of Pan-Cancer; while a down arrow indicates either the absolute difference is less than 5% below, or the relative difference is less than 1/3 of Pan-Cancer.  </w:t>
      </w:r>
    </w:p>
    <w:p w14:paraId="026CB3C6" w14:textId="77777777" w:rsidR="00D37B61" w:rsidRDefault="00000000">
      <w:pPr>
        <w:spacing w:after="160" w:line="240" w:lineRule="auto"/>
        <w:ind w:firstLine="720"/>
        <w:jc w:val="both"/>
      </w:pPr>
      <w:r>
        <w:t xml:space="preserve">In the right aligned </w:t>
      </w:r>
      <w:r>
        <w:rPr>
          <w:u w:val="single"/>
        </w:rPr>
        <w:t>Top potential actionable events</w:t>
      </w:r>
      <w:r>
        <w:t xml:space="preserve"> figure, the order of the gene rows from top to bottom match those in the </w:t>
      </w:r>
      <w:r>
        <w:rPr>
          <w:u w:val="single"/>
        </w:rPr>
        <w:t>Summary</w:t>
      </w:r>
      <w:r>
        <w:t xml:space="preserve"> figure. Only patients with at least one potentially actionable event were included in this figure, and the total number of patients included labeled on x-axis.  </w:t>
      </w:r>
    </w:p>
    <w:p w14:paraId="1F396343" w14:textId="77777777" w:rsidR="00D37B61" w:rsidRDefault="00000000">
      <w:pPr>
        <w:spacing w:after="160" w:line="240" w:lineRule="auto"/>
        <w:jc w:val="both"/>
        <w:rPr>
          <w:sz w:val="24"/>
          <w:szCs w:val="24"/>
        </w:rPr>
      </w:pPr>
      <w:r>
        <w:rPr>
          <w:sz w:val="24"/>
          <w:szCs w:val="24"/>
        </w:rPr>
        <w:t xml:space="preserve"> </w:t>
      </w:r>
    </w:p>
    <w:p w14:paraId="77A1BAE2" w14:textId="77777777" w:rsidR="00D37B61" w:rsidRDefault="00000000">
      <w:pPr>
        <w:spacing w:before="160" w:after="80" w:line="240" w:lineRule="auto"/>
        <w:jc w:val="both"/>
        <w:rPr>
          <w:color w:val="0F4761"/>
          <w:sz w:val="32"/>
          <w:szCs w:val="32"/>
        </w:rPr>
      </w:pPr>
      <w:r>
        <w:br w:type="page"/>
      </w:r>
    </w:p>
    <w:p w14:paraId="128B7421" w14:textId="77777777" w:rsidR="00D37B61" w:rsidRDefault="00000000">
      <w:pPr>
        <w:pStyle w:val="Heading2"/>
        <w:spacing w:before="160" w:after="80" w:line="240" w:lineRule="auto"/>
        <w:jc w:val="both"/>
      </w:pPr>
      <w:bookmarkStart w:id="35" w:name="_dbg3athvqybh" w:colFirst="0" w:colLast="0"/>
      <w:bookmarkEnd w:id="35"/>
      <w:r>
        <w:lastRenderedPageBreak/>
        <w:t xml:space="preserve">Germline Predisposition </w:t>
      </w:r>
    </w:p>
    <w:p w14:paraId="0AF2CB6A" w14:textId="77777777" w:rsidR="00D37B61" w:rsidRDefault="00000000">
      <w:pPr>
        <w:pStyle w:val="Heading3"/>
        <w:spacing w:before="160" w:line="240" w:lineRule="auto"/>
        <w:jc w:val="both"/>
      </w:pPr>
      <w:bookmarkStart w:id="36" w:name="_dvngxoogdlrr" w:colFirst="0" w:colLast="0"/>
      <w:bookmarkEnd w:id="36"/>
      <w:r>
        <w:t xml:space="preserve">Summary </w:t>
      </w:r>
    </w:p>
    <w:p w14:paraId="1F72688B" w14:textId="77777777" w:rsidR="00D37B61" w:rsidRDefault="00000000">
      <w:pPr>
        <w:spacing w:after="160" w:line="240" w:lineRule="auto"/>
        <w:ind w:firstLine="720"/>
        <w:jc w:val="both"/>
      </w:pPr>
      <w:r>
        <w:t xml:space="preserve">The germline predisposition figure summarizes the predicted germline variants in the database. The germline disposition genes are selected from a list of 152 genes curated by </w:t>
      </w:r>
      <w:hyperlink r:id="rId54">
        <w:r>
          <w:rPr>
            <w:color w:val="000000"/>
          </w:rPr>
          <w:t>(Huang et al. 2018)</w:t>
        </w:r>
      </w:hyperlink>
      <w:r>
        <w:t xml:space="preserve">. For SNV and INDEL, in each of the 152 genes the germline variants were called using the GATK </w:t>
      </w:r>
      <w:proofErr w:type="spellStart"/>
      <w:r>
        <w:t>HaplotypeCaller</w:t>
      </w:r>
      <w:proofErr w:type="spellEnd"/>
      <w:r>
        <w:t xml:space="preserve"> </w:t>
      </w:r>
      <w:hyperlink r:id="rId55">
        <w:r>
          <w:rPr>
            <w:color w:val="000000"/>
          </w:rPr>
          <w:t>(Poplin et al. 2018)</w:t>
        </w:r>
      </w:hyperlink>
      <w:r>
        <w:t xml:space="preserve">, and predisposition events were labeled based on the </w:t>
      </w:r>
      <w:proofErr w:type="spellStart"/>
      <w:r>
        <w:t>ClinVar</w:t>
      </w:r>
      <w:proofErr w:type="spellEnd"/>
      <w:r>
        <w:t xml:space="preserve"> </w:t>
      </w:r>
      <w:hyperlink r:id="rId56">
        <w:r>
          <w:rPr>
            <w:color w:val="000000"/>
          </w:rPr>
          <w:t>(Landrum et al. 2016)</w:t>
        </w:r>
      </w:hyperlink>
      <w:r>
        <w:t xml:space="preserve"> annotation of their canonical transcripts. See the Germline predisposition variant calling</w:t>
      </w:r>
      <w:r>
        <w:rPr>
          <w:b/>
        </w:rPr>
        <w:t xml:space="preserve"> </w:t>
      </w:r>
      <w:r>
        <w:t xml:space="preserve">section in the supplementary information of </w:t>
      </w:r>
      <w:hyperlink r:id="rId57">
        <w:r>
          <w:rPr>
            <w:color w:val="000000"/>
          </w:rPr>
          <w:t>(Priestley et al. 2019)</w:t>
        </w:r>
      </w:hyperlink>
      <w:r>
        <w:t xml:space="preserve"> for complete details. The germline predisposition variants are found within the </w:t>
      </w:r>
      <w:hyperlink r:id="rId58">
        <w:r>
          <w:rPr>
            <w:color w:val="1155CC"/>
            <w:u w:val="single"/>
          </w:rPr>
          <w:t>PURPLE</w:t>
        </w:r>
      </w:hyperlink>
      <w:r>
        <w:t xml:space="preserve"> driver catalog output in the data request. </w:t>
      </w:r>
    </w:p>
    <w:p w14:paraId="03215778" w14:textId="77777777" w:rsidR="00D37B61" w:rsidRDefault="00000000">
      <w:pPr>
        <w:spacing w:before="160" w:after="80" w:line="240" w:lineRule="auto"/>
        <w:jc w:val="both"/>
      </w:pPr>
      <w:r>
        <w:rPr>
          <w:noProof/>
        </w:rPr>
        <w:drawing>
          <wp:inline distT="114300" distB="114300" distL="114300" distR="114300" wp14:anchorId="77621BC0" wp14:editId="09CF9F99">
            <wp:extent cx="5943600" cy="16256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a:srcRect/>
                    <a:stretch>
                      <a:fillRect/>
                    </a:stretch>
                  </pic:blipFill>
                  <pic:spPr>
                    <a:xfrm>
                      <a:off x="0" y="0"/>
                      <a:ext cx="5943600" cy="1625600"/>
                    </a:xfrm>
                    <a:prstGeom prst="rect">
                      <a:avLst/>
                    </a:prstGeom>
                    <a:ln/>
                  </pic:spPr>
                </pic:pic>
              </a:graphicData>
            </a:graphic>
          </wp:inline>
        </w:drawing>
      </w:r>
    </w:p>
    <w:p w14:paraId="31254833" w14:textId="77777777" w:rsidR="00D37B61" w:rsidRDefault="00000000">
      <w:pPr>
        <w:pStyle w:val="Heading3"/>
        <w:spacing w:before="160" w:line="240" w:lineRule="auto"/>
        <w:jc w:val="both"/>
      </w:pPr>
      <w:bookmarkStart w:id="37" w:name="_4d1mff67ermg" w:colFirst="0" w:colLast="0"/>
      <w:bookmarkEnd w:id="37"/>
      <w:r>
        <w:t xml:space="preserve">Figure Description </w:t>
      </w:r>
    </w:p>
    <w:p w14:paraId="7E4F8971" w14:textId="77777777" w:rsidR="00D37B61" w:rsidRDefault="00000000">
      <w:pPr>
        <w:spacing w:after="160" w:line="240" w:lineRule="auto"/>
        <w:ind w:firstLine="720"/>
        <w:jc w:val="both"/>
      </w:pPr>
      <w:r>
        <w:t xml:space="preserve">In the </w:t>
      </w:r>
      <w:r>
        <w:rPr>
          <w:u w:val="single"/>
        </w:rPr>
        <w:t># Events</w:t>
      </w:r>
      <w:r>
        <w:t xml:space="preserve"> figure shown on the left, the distribution of the # driver events output per patient are summarized. The number of events is summarized within the bars and relative percentages within cohorts is shown outside the bars. Pan-cancer in gray is added as a reference for comparison.  </w:t>
      </w:r>
    </w:p>
    <w:p w14:paraId="4C58BEBE" w14:textId="77777777" w:rsidR="00D37B61" w:rsidRDefault="00000000">
      <w:pPr>
        <w:spacing w:after="160" w:line="240" w:lineRule="auto"/>
        <w:ind w:firstLine="720"/>
        <w:jc w:val="both"/>
      </w:pPr>
      <w:r>
        <w:t xml:space="preserve">In the middle </w:t>
      </w:r>
      <w:r>
        <w:rPr>
          <w:u w:val="single"/>
        </w:rPr>
        <w:t>Summary</w:t>
      </w:r>
      <w:r>
        <w:t xml:space="preserve"> figure, predisposition genes are ordered from top to bottom according to their frequencies within the cohort.  The Type column indicates whether the genes are labeled Tumor Suppressors (TSG) or Oncogenes (ONC). The cohort's name (%) and Pan-Cancer (%) fields show the prevalence of the events within the cohort. For the Direction field, the up and down arrows are added to highlight clearer differences with the Pan-Cancer cohort. An up arrow indicates that either the absolute percentage difference was greater than 5%, or the relative difference was greater than 3 times that of Pan-Cancer; while a down arrow indicates either the absolute difference is less than 5% below, or the relative difference is less than 1/3 of Pan-Cancer.  </w:t>
      </w:r>
    </w:p>
    <w:p w14:paraId="039A6142" w14:textId="77777777" w:rsidR="00D37B61" w:rsidRDefault="00000000">
      <w:pPr>
        <w:spacing w:after="160" w:line="240" w:lineRule="auto"/>
        <w:ind w:firstLine="720"/>
        <w:jc w:val="both"/>
      </w:pPr>
      <w:r>
        <w:t xml:space="preserve">In the right aligned </w:t>
      </w:r>
      <w:r>
        <w:rPr>
          <w:u w:val="single"/>
        </w:rPr>
        <w:t xml:space="preserve">Top germline </w:t>
      </w:r>
      <w:proofErr w:type="gramStart"/>
      <w:r>
        <w:rPr>
          <w:u w:val="single"/>
        </w:rPr>
        <w:t>drivers</w:t>
      </w:r>
      <w:proofErr w:type="gramEnd"/>
      <w:r>
        <w:t xml:space="preserve"> figure, the order of the gene rows from top to bottom match those in the </w:t>
      </w:r>
      <w:r>
        <w:rPr>
          <w:u w:val="single"/>
        </w:rPr>
        <w:t>Summary</w:t>
      </w:r>
      <w:r>
        <w:t xml:space="preserve"> figure. Only patients with at least one germline driver were included in this figure, and the total number of patients included labeled on x-axis. The color coding for the event types is based on grouping of the output from the driver catalog.  </w:t>
      </w:r>
    </w:p>
    <w:tbl>
      <w:tblPr>
        <w:tblStyle w:val="a2"/>
        <w:tblW w:w="93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41"/>
        <w:gridCol w:w="6918"/>
      </w:tblGrid>
      <w:tr w:rsidR="00D37B61" w14:paraId="0927B6A1"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491D979" w14:textId="77777777" w:rsidR="00D37B61" w:rsidRDefault="00000000">
            <w:pPr>
              <w:spacing w:before="40" w:after="40" w:line="240" w:lineRule="auto"/>
              <w:ind w:left="-80"/>
              <w:jc w:val="center"/>
            </w:pPr>
            <w:r>
              <w:t xml:space="preserve">Event Type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A50CF25" w14:textId="77777777" w:rsidR="00D37B61" w:rsidRDefault="00000000">
            <w:pPr>
              <w:spacing w:before="40" w:after="40" w:line="240" w:lineRule="auto"/>
              <w:ind w:left="-80"/>
              <w:jc w:val="center"/>
            </w:pPr>
            <w:r>
              <w:t xml:space="preserve">Groupings </w:t>
            </w:r>
          </w:p>
        </w:tc>
      </w:tr>
      <w:tr w:rsidR="00D37B61" w14:paraId="0DFE5721"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395FF73" w14:textId="77777777" w:rsidR="00D37B61" w:rsidRDefault="00000000">
            <w:pPr>
              <w:spacing w:before="40" w:after="40" w:line="240" w:lineRule="auto"/>
              <w:ind w:left="-80"/>
              <w:jc w:val="center"/>
            </w:pPr>
            <w:r>
              <w:t xml:space="preserve">Structural Variant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C75CB20" w14:textId="77777777" w:rsidR="00D37B61" w:rsidRDefault="00000000">
            <w:pPr>
              <w:spacing w:before="40" w:after="40" w:line="240" w:lineRule="auto"/>
              <w:ind w:left="-80"/>
              <w:jc w:val="center"/>
            </w:pPr>
            <w:r>
              <w:t xml:space="preserve">Germline Disruptions or Deletions </w:t>
            </w:r>
          </w:p>
        </w:tc>
      </w:tr>
      <w:tr w:rsidR="00D37B61" w14:paraId="71A765E7" w14:textId="77777777">
        <w:trPr>
          <w:trHeight w:val="300"/>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16151EB" w14:textId="77777777" w:rsidR="00D37B61" w:rsidRDefault="00000000">
            <w:pPr>
              <w:spacing w:before="40" w:after="40" w:line="240" w:lineRule="auto"/>
              <w:ind w:left="-80"/>
              <w:jc w:val="center"/>
            </w:pPr>
            <w:r>
              <w:t xml:space="preserve">Small Variant </w:t>
            </w:r>
          </w:p>
        </w:tc>
        <w:tc>
          <w:tcPr>
            <w:tcW w:w="691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90A8C5" w14:textId="77777777" w:rsidR="00D37B61" w:rsidRDefault="00000000">
            <w:pPr>
              <w:spacing w:before="40" w:after="40" w:line="240" w:lineRule="auto"/>
              <w:ind w:left="-80"/>
              <w:jc w:val="center"/>
            </w:pPr>
            <w:r>
              <w:t xml:space="preserve">Germline Mutations </w:t>
            </w:r>
          </w:p>
        </w:tc>
      </w:tr>
    </w:tbl>
    <w:p w14:paraId="3DFD550A" w14:textId="77777777" w:rsidR="00D37B61" w:rsidRDefault="00000000">
      <w:pPr>
        <w:spacing w:after="160" w:line="240" w:lineRule="auto"/>
        <w:jc w:val="both"/>
      </w:pPr>
      <w:r>
        <w:t xml:space="preserve"> </w:t>
      </w:r>
      <w:r>
        <w:br w:type="page"/>
      </w:r>
    </w:p>
    <w:p w14:paraId="3AB43FB8" w14:textId="77777777" w:rsidR="00D37B61" w:rsidRDefault="00000000">
      <w:pPr>
        <w:pStyle w:val="Heading2"/>
        <w:spacing w:after="160" w:line="240" w:lineRule="auto"/>
        <w:jc w:val="both"/>
      </w:pPr>
      <w:bookmarkStart w:id="38" w:name="_n39ea47ffpr2" w:colFirst="0" w:colLast="0"/>
      <w:bookmarkEnd w:id="38"/>
      <w:r>
        <w:lastRenderedPageBreak/>
        <w:t>WGS vs Panel Coverage</w:t>
      </w:r>
    </w:p>
    <w:p w14:paraId="2FFD3C94" w14:textId="77777777" w:rsidR="00D37B61" w:rsidRDefault="00000000">
      <w:pPr>
        <w:pStyle w:val="Heading3"/>
        <w:spacing w:after="160" w:line="240" w:lineRule="auto"/>
        <w:jc w:val="both"/>
      </w:pPr>
      <w:bookmarkStart w:id="39" w:name="_o4tnca9i93l3" w:colFirst="0" w:colLast="0"/>
      <w:bookmarkEnd w:id="39"/>
      <w:r>
        <w:t>Summary</w:t>
      </w:r>
    </w:p>
    <w:p w14:paraId="2109BF3A" w14:textId="77777777" w:rsidR="00D37B61" w:rsidRDefault="00000000">
      <w:pPr>
        <w:spacing w:after="160" w:line="240" w:lineRule="auto"/>
        <w:ind w:firstLine="720"/>
        <w:jc w:val="both"/>
      </w:pPr>
      <w:r>
        <w:t xml:space="preserve">The final panel summarizes results from an </w:t>
      </w:r>
      <w:r>
        <w:rPr>
          <w:i/>
        </w:rPr>
        <w:t>in-silico</w:t>
      </w:r>
      <w:r>
        <w:t xml:space="preserve"> study where we performed a comparison </w:t>
      </w:r>
      <w:proofErr w:type="gramStart"/>
      <w:r>
        <w:t>of  the</w:t>
      </w:r>
      <w:proofErr w:type="gramEnd"/>
      <w:r>
        <w:t xml:space="preserve"> actionability coverage of WGS compared to two targeted gene panels: a comprehensive gene panel and targeted gene panel. In this study, the comprehensive panel is represented by the </w:t>
      </w:r>
      <w:hyperlink r:id="rId60">
        <w:proofErr w:type="spellStart"/>
        <w:r>
          <w:rPr>
            <w:color w:val="1155CC"/>
            <w:u w:val="single"/>
          </w:rPr>
          <w:t>TruSight</w:t>
        </w:r>
        <w:proofErr w:type="spellEnd"/>
        <w:r>
          <w:rPr>
            <w:color w:val="1155CC"/>
            <w:u w:val="single"/>
          </w:rPr>
          <w:t xml:space="preserve"> Oncology 500</w:t>
        </w:r>
      </w:hyperlink>
      <w:hyperlink r:id="rId61">
        <w:r>
          <w:rPr>
            <w:color w:val="1155CC"/>
          </w:rPr>
          <w:t xml:space="preserve"> </w:t>
        </w:r>
      </w:hyperlink>
      <w:r>
        <w:t xml:space="preserve">(TSO500) panel, including 521 genes; while the Targeted panel is based on the </w:t>
      </w:r>
      <w:hyperlink r:id="rId62" w:anchor="panels">
        <w:proofErr w:type="spellStart"/>
        <w:r>
          <w:rPr>
            <w:color w:val="1155CC"/>
            <w:u w:val="single"/>
          </w:rPr>
          <w:t>AmpliSeq</w:t>
        </w:r>
        <w:proofErr w:type="spellEnd"/>
      </w:hyperlink>
      <w:r>
        <w:t xml:space="preserve"> custom panel, including 50 genes. </w:t>
      </w:r>
    </w:p>
    <w:p w14:paraId="0DF9D629" w14:textId="77777777" w:rsidR="00D37B61" w:rsidRDefault="00000000">
      <w:pPr>
        <w:spacing w:after="160" w:line="240" w:lineRule="auto"/>
        <w:ind w:firstLine="720"/>
        <w:jc w:val="both"/>
      </w:pPr>
      <w:r>
        <w:t>The actionability coverage comparison study was conducted as follows. First, WGS biomarker events reported</w:t>
      </w:r>
      <w:r>
        <w:rPr>
          <w:highlight w:val="white"/>
        </w:rPr>
        <w:t xml:space="preserve"> by </w:t>
      </w:r>
      <w:hyperlink r:id="rId63">
        <w:r>
          <w:rPr>
            <w:color w:val="1155CC"/>
            <w:highlight w:val="white"/>
            <w:u w:val="single"/>
          </w:rPr>
          <w:t>PROTECT</w:t>
        </w:r>
      </w:hyperlink>
      <w:r>
        <w:rPr>
          <w:highlight w:val="white"/>
        </w:rPr>
        <w:t xml:space="preserve"> were</w:t>
      </w:r>
      <w:r>
        <w:t xml:space="preserve"> set as a reference of all actionable events. The study scope was restricted to reported genomic events (no RNA), with evidence for treatment response (i.e., excluding resistance markers), whose evidence source was the </w:t>
      </w:r>
      <w:hyperlink r:id="rId64">
        <w:r>
          <w:rPr>
            <w:color w:val="1155CC"/>
            <w:u w:val="single"/>
          </w:rPr>
          <w:t>Clinical Knowledgebase</w:t>
        </w:r>
      </w:hyperlink>
      <w:r>
        <w:t xml:space="preserve"> </w:t>
      </w:r>
      <w:hyperlink r:id="rId65">
        <w:r>
          <w:rPr>
            <w:color w:val="000000"/>
          </w:rPr>
          <w:t>(Patterson et al. 2016)</w:t>
        </w:r>
      </w:hyperlink>
      <w:r>
        <w:t>. These events were then classified into four ordinal evidence levels described in the Potentially Actionable Events section of this document (FDA Approved, Drug Repurposing, Experimental/Other Guidelines, or Other). To measure panel coverage, we specified a set of rules based on descriptions of the panels gathered from the company websites (</w:t>
      </w:r>
      <w:hyperlink r:id="rId66">
        <w:r>
          <w:rPr>
            <w:color w:val="1155CC"/>
            <w:u w:val="single"/>
          </w:rPr>
          <w:t>TSO500</w:t>
        </w:r>
      </w:hyperlink>
      <w:r>
        <w:t xml:space="preserve"> for comprehensive and </w:t>
      </w:r>
      <w:hyperlink r:id="rId67">
        <w:proofErr w:type="spellStart"/>
        <w:r>
          <w:rPr>
            <w:color w:val="1155CC"/>
            <w:u w:val="single"/>
          </w:rPr>
          <w:t>AmpliSeq</w:t>
        </w:r>
        <w:proofErr w:type="spellEnd"/>
      </w:hyperlink>
      <w:r>
        <w:t xml:space="preserve"> for targeted) and the genomic coordinates of the commercial panel </w:t>
      </w:r>
      <w:hyperlink r:id="rId68">
        <w:r>
          <w:rPr>
            <w:color w:val="1155CC"/>
            <w:u w:val="single"/>
          </w:rPr>
          <w:t>BED</w:t>
        </w:r>
      </w:hyperlink>
      <w:r>
        <w:t xml:space="preserve"> files </w:t>
      </w:r>
      <w:hyperlink r:id="rId69">
        <w:r>
          <w:rPr>
            <w:color w:val="000000"/>
          </w:rPr>
          <w:t>(Quinlan and Hall 2010)</w:t>
        </w:r>
      </w:hyperlink>
      <w:r>
        <w:t xml:space="preserve">. The comprehensive panel BED file was based on an experimental validation of the TSO500 panel, while the targeted panel used the </w:t>
      </w:r>
      <w:proofErr w:type="spellStart"/>
      <w:r>
        <w:t>AmpliSeq</w:t>
      </w:r>
      <w:proofErr w:type="spellEnd"/>
      <w:r>
        <w:t xml:space="preserve"> design BED file. We specify the follow rules to measure the actionability coverage:</w:t>
      </w:r>
    </w:p>
    <w:tbl>
      <w:tblPr>
        <w:tblStyle w:val="a3"/>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8"/>
        <w:gridCol w:w="6747"/>
      </w:tblGrid>
      <w:tr w:rsidR="00D37B61" w14:paraId="4B7898E0" w14:textId="77777777">
        <w:trPr>
          <w:trHeight w:val="420"/>
        </w:trPr>
        <w:tc>
          <w:tcPr>
            <w:tcW w:w="2688" w:type="dxa"/>
            <w:shd w:val="clear" w:color="auto" w:fill="auto"/>
            <w:tcMar>
              <w:top w:w="100" w:type="dxa"/>
              <w:left w:w="100" w:type="dxa"/>
              <w:bottom w:w="100" w:type="dxa"/>
              <w:right w:w="100" w:type="dxa"/>
            </w:tcMar>
          </w:tcPr>
          <w:p w14:paraId="44999E50" w14:textId="77777777" w:rsidR="00D37B61" w:rsidRDefault="00000000">
            <w:pPr>
              <w:keepLines/>
              <w:widowControl w:val="0"/>
              <w:pBdr>
                <w:top w:val="nil"/>
                <w:left w:val="nil"/>
                <w:bottom w:val="nil"/>
                <w:right w:val="nil"/>
                <w:between w:val="nil"/>
              </w:pBdr>
              <w:spacing w:line="240" w:lineRule="auto"/>
              <w:jc w:val="center"/>
            </w:pPr>
            <w:r>
              <w:t>Event Type</w:t>
            </w:r>
          </w:p>
        </w:tc>
        <w:tc>
          <w:tcPr>
            <w:tcW w:w="6746" w:type="dxa"/>
            <w:shd w:val="clear" w:color="auto" w:fill="auto"/>
            <w:tcMar>
              <w:top w:w="100" w:type="dxa"/>
              <w:left w:w="100" w:type="dxa"/>
              <w:bottom w:w="100" w:type="dxa"/>
              <w:right w:w="100" w:type="dxa"/>
            </w:tcMar>
          </w:tcPr>
          <w:p w14:paraId="545B3E79" w14:textId="77777777" w:rsidR="00D37B61" w:rsidRDefault="00000000">
            <w:pPr>
              <w:keepLines/>
              <w:widowControl w:val="0"/>
              <w:pBdr>
                <w:top w:val="nil"/>
                <w:left w:val="nil"/>
                <w:bottom w:val="nil"/>
                <w:right w:val="nil"/>
                <w:between w:val="nil"/>
              </w:pBdr>
              <w:spacing w:line="240" w:lineRule="auto"/>
              <w:jc w:val="center"/>
            </w:pPr>
            <w:r>
              <w:t>Rules for panel coverage measurement</w:t>
            </w:r>
          </w:p>
        </w:tc>
      </w:tr>
      <w:tr w:rsidR="00D37B61" w14:paraId="72F557C3" w14:textId="77777777" w:rsidTr="00BE4EB3">
        <w:trPr>
          <w:trHeight w:val="429"/>
        </w:trPr>
        <w:tc>
          <w:tcPr>
            <w:tcW w:w="2688" w:type="dxa"/>
            <w:shd w:val="clear" w:color="auto" w:fill="auto"/>
            <w:tcMar>
              <w:top w:w="100" w:type="dxa"/>
              <w:left w:w="100" w:type="dxa"/>
              <w:bottom w:w="100" w:type="dxa"/>
              <w:right w:w="100" w:type="dxa"/>
            </w:tcMar>
          </w:tcPr>
          <w:p w14:paraId="6C8D98F2" w14:textId="77777777" w:rsidR="00D37B61" w:rsidRDefault="00000000">
            <w:pPr>
              <w:keepLines/>
              <w:widowControl w:val="0"/>
              <w:pBdr>
                <w:top w:val="nil"/>
                <w:left w:val="nil"/>
                <w:bottom w:val="nil"/>
                <w:right w:val="nil"/>
                <w:between w:val="nil"/>
              </w:pBdr>
              <w:spacing w:line="240" w:lineRule="auto"/>
              <w:jc w:val="center"/>
            </w:pPr>
            <w:r>
              <w:t xml:space="preserve">Small Variant </w:t>
            </w:r>
          </w:p>
          <w:p w14:paraId="0F317860" w14:textId="77777777" w:rsidR="00D37B61" w:rsidRDefault="00000000">
            <w:pPr>
              <w:keepLines/>
              <w:widowControl w:val="0"/>
              <w:pBdr>
                <w:top w:val="nil"/>
                <w:left w:val="nil"/>
                <w:bottom w:val="nil"/>
                <w:right w:val="nil"/>
                <w:between w:val="nil"/>
              </w:pBdr>
              <w:spacing w:line="240" w:lineRule="auto"/>
              <w:jc w:val="center"/>
            </w:pPr>
            <w:r>
              <w:t>Splice Site Variants</w:t>
            </w:r>
          </w:p>
        </w:tc>
        <w:tc>
          <w:tcPr>
            <w:tcW w:w="6746" w:type="dxa"/>
            <w:shd w:val="clear" w:color="auto" w:fill="auto"/>
            <w:tcMar>
              <w:top w:w="100" w:type="dxa"/>
              <w:left w:w="100" w:type="dxa"/>
              <w:bottom w:w="100" w:type="dxa"/>
              <w:right w:w="100" w:type="dxa"/>
            </w:tcMar>
          </w:tcPr>
          <w:p w14:paraId="77E3A31C" w14:textId="77777777" w:rsidR="00D37B61" w:rsidRDefault="00000000">
            <w:pPr>
              <w:keepLines/>
              <w:widowControl w:val="0"/>
              <w:numPr>
                <w:ilvl w:val="0"/>
                <w:numId w:val="9"/>
              </w:numPr>
              <w:pBdr>
                <w:top w:val="nil"/>
                <w:left w:val="nil"/>
                <w:bottom w:val="nil"/>
                <w:right w:val="nil"/>
                <w:between w:val="nil"/>
              </w:pBdr>
              <w:spacing w:line="240" w:lineRule="auto"/>
              <w:jc w:val="both"/>
            </w:pPr>
            <w:r>
              <w:t xml:space="preserve">Only events observed in genomic locations captured within the panel BED files are covered.  </w:t>
            </w:r>
          </w:p>
        </w:tc>
      </w:tr>
      <w:tr w:rsidR="00D37B61" w14:paraId="14DCC5B2" w14:textId="77777777" w:rsidTr="00BE4EB3">
        <w:trPr>
          <w:trHeight w:val="770"/>
        </w:trPr>
        <w:tc>
          <w:tcPr>
            <w:tcW w:w="2688" w:type="dxa"/>
            <w:shd w:val="clear" w:color="auto" w:fill="auto"/>
            <w:tcMar>
              <w:top w:w="100" w:type="dxa"/>
              <w:left w:w="100" w:type="dxa"/>
              <w:bottom w:w="100" w:type="dxa"/>
              <w:right w:w="100" w:type="dxa"/>
            </w:tcMar>
          </w:tcPr>
          <w:p w14:paraId="4934D7F0" w14:textId="77777777" w:rsidR="00D37B61" w:rsidRDefault="00000000">
            <w:pPr>
              <w:keepLines/>
              <w:widowControl w:val="0"/>
              <w:pBdr>
                <w:top w:val="nil"/>
                <w:left w:val="nil"/>
                <w:bottom w:val="nil"/>
                <w:right w:val="nil"/>
                <w:between w:val="nil"/>
              </w:pBdr>
              <w:spacing w:line="240" w:lineRule="auto"/>
              <w:jc w:val="center"/>
            </w:pPr>
            <w:r>
              <w:t>Copy Number Variants</w:t>
            </w:r>
          </w:p>
          <w:p w14:paraId="0B4CF505" w14:textId="77777777" w:rsidR="00D37B61" w:rsidRDefault="00000000">
            <w:pPr>
              <w:keepLines/>
              <w:widowControl w:val="0"/>
              <w:pBdr>
                <w:top w:val="nil"/>
                <w:left w:val="nil"/>
                <w:bottom w:val="nil"/>
                <w:right w:val="nil"/>
                <w:between w:val="nil"/>
              </w:pBdr>
              <w:spacing w:line="240" w:lineRule="auto"/>
              <w:jc w:val="center"/>
            </w:pPr>
            <w:r>
              <w:t>(Amplifications and Deletions)</w:t>
            </w:r>
          </w:p>
        </w:tc>
        <w:tc>
          <w:tcPr>
            <w:tcW w:w="6746" w:type="dxa"/>
            <w:shd w:val="clear" w:color="auto" w:fill="auto"/>
            <w:tcMar>
              <w:top w:w="100" w:type="dxa"/>
              <w:left w:w="100" w:type="dxa"/>
              <w:bottom w:w="100" w:type="dxa"/>
              <w:right w:w="100" w:type="dxa"/>
            </w:tcMar>
          </w:tcPr>
          <w:p w14:paraId="22608AB3" w14:textId="77777777" w:rsidR="00D37B61" w:rsidRDefault="00000000">
            <w:pPr>
              <w:keepLines/>
              <w:widowControl w:val="0"/>
              <w:numPr>
                <w:ilvl w:val="0"/>
                <w:numId w:val="3"/>
              </w:numPr>
              <w:spacing w:line="240" w:lineRule="auto"/>
              <w:jc w:val="both"/>
            </w:pPr>
            <w:r>
              <w:t>Only genes included in the panels can capture CN events.</w:t>
            </w:r>
          </w:p>
          <w:p w14:paraId="6CB5AC3F" w14:textId="77777777" w:rsidR="00D37B61" w:rsidRDefault="00000000">
            <w:pPr>
              <w:keepLines/>
              <w:widowControl w:val="0"/>
              <w:numPr>
                <w:ilvl w:val="0"/>
                <w:numId w:val="3"/>
              </w:numPr>
              <w:pBdr>
                <w:top w:val="nil"/>
                <w:left w:val="nil"/>
                <w:bottom w:val="nil"/>
                <w:right w:val="nil"/>
                <w:between w:val="nil"/>
              </w:pBdr>
              <w:spacing w:line="240" w:lineRule="auto"/>
              <w:jc w:val="both"/>
            </w:pPr>
            <w:r>
              <w:t xml:space="preserve">Gene deletion detected if minimum copy number &lt; .5. </w:t>
            </w:r>
          </w:p>
          <w:p w14:paraId="109DE812" w14:textId="08BDE78C" w:rsidR="00D37B61" w:rsidRDefault="00000000">
            <w:pPr>
              <w:keepLines/>
              <w:widowControl w:val="0"/>
              <w:numPr>
                <w:ilvl w:val="0"/>
                <w:numId w:val="3"/>
              </w:numPr>
              <w:pBdr>
                <w:top w:val="nil"/>
                <w:left w:val="nil"/>
                <w:bottom w:val="nil"/>
                <w:right w:val="nil"/>
                <w:between w:val="nil"/>
              </w:pBdr>
              <w:spacing w:line="240" w:lineRule="auto"/>
              <w:jc w:val="both"/>
            </w:pPr>
            <w:r>
              <w:t>Gene amplification captured if maximum copy number &gt; 6.</w:t>
            </w:r>
          </w:p>
        </w:tc>
      </w:tr>
      <w:tr w:rsidR="00D37B61" w14:paraId="7DB7FACD" w14:textId="77777777">
        <w:trPr>
          <w:trHeight w:val="420"/>
        </w:trPr>
        <w:tc>
          <w:tcPr>
            <w:tcW w:w="2688" w:type="dxa"/>
            <w:shd w:val="clear" w:color="auto" w:fill="auto"/>
            <w:tcMar>
              <w:top w:w="100" w:type="dxa"/>
              <w:left w:w="100" w:type="dxa"/>
              <w:bottom w:w="100" w:type="dxa"/>
              <w:right w:w="100" w:type="dxa"/>
            </w:tcMar>
          </w:tcPr>
          <w:p w14:paraId="7498F841" w14:textId="77777777" w:rsidR="00D37B61" w:rsidRDefault="00000000">
            <w:pPr>
              <w:keepLines/>
              <w:widowControl w:val="0"/>
              <w:pBdr>
                <w:top w:val="nil"/>
                <w:left w:val="nil"/>
                <w:bottom w:val="nil"/>
                <w:right w:val="nil"/>
                <w:between w:val="nil"/>
              </w:pBdr>
              <w:spacing w:line="240" w:lineRule="auto"/>
            </w:pPr>
            <w:r>
              <w:t xml:space="preserve">    Genomic Signatures</w:t>
            </w:r>
          </w:p>
          <w:p w14:paraId="2B78D777" w14:textId="77777777" w:rsidR="00D37B61" w:rsidRDefault="00000000">
            <w:pPr>
              <w:keepLines/>
              <w:widowControl w:val="0"/>
              <w:pBdr>
                <w:top w:val="nil"/>
                <w:left w:val="nil"/>
                <w:bottom w:val="nil"/>
                <w:right w:val="nil"/>
                <w:between w:val="nil"/>
              </w:pBdr>
              <w:spacing w:line="240" w:lineRule="auto"/>
              <w:jc w:val="center"/>
            </w:pPr>
            <w:r>
              <w:t xml:space="preserve">(TMB High, </w:t>
            </w:r>
          </w:p>
          <w:p w14:paraId="55EEC1D4" w14:textId="77777777" w:rsidR="00D37B61" w:rsidRDefault="00000000">
            <w:pPr>
              <w:keepLines/>
              <w:widowControl w:val="0"/>
              <w:pBdr>
                <w:top w:val="nil"/>
                <w:left w:val="nil"/>
                <w:bottom w:val="nil"/>
                <w:right w:val="nil"/>
                <w:between w:val="nil"/>
              </w:pBdr>
              <w:spacing w:line="240" w:lineRule="auto"/>
              <w:jc w:val="center"/>
            </w:pPr>
            <w:r>
              <w:t>MSI High, HRD)</w:t>
            </w:r>
          </w:p>
        </w:tc>
        <w:tc>
          <w:tcPr>
            <w:tcW w:w="6746" w:type="dxa"/>
            <w:shd w:val="clear" w:color="auto" w:fill="auto"/>
            <w:tcMar>
              <w:top w:w="100" w:type="dxa"/>
              <w:left w:w="100" w:type="dxa"/>
              <w:bottom w:w="100" w:type="dxa"/>
              <w:right w:w="100" w:type="dxa"/>
            </w:tcMar>
          </w:tcPr>
          <w:p w14:paraId="438EB470" w14:textId="77777777" w:rsidR="00D37B61" w:rsidRDefault="00000000">
            <w:pPr>
              <w:keepLines/>
              <w:widowControl w:val="0"/>
              <w:numPr>
                <w:ilvl w:val="0"/>
                <w:numId w:val="2"/>
              </w:numPr>
              <w:pBdr>
                <w:top w:val="nil"/>
                <w:left w:val="nil"/>
                <w:bottom w:val="nil"/>
                <w:right w:val="nil"/>
                <w:between w:val="nil"/>
              </w:pBdr>
              <w:spacing w:line="240" w:lineRule="auto"/>
              <w:jc w:val="both"/>
            </w:pPr>
            <w:r>
              <w:t>TMB, MSI High are captured by the comprehensive panel.</w:t>
            </w:r>
          </w:p>
          <w:p w14:paraId="54ACFF08" w14:textId="77777777" w:rsidR="00D37B61" w:rsidRDefault="00000000">
            <w:pPr>
              <w:keepLines/>
              <w:widowControl w:val="0"/>
              <w:numPr>
                <w:ilvl w:val="0"/>
                <w:numId w:val="2"/>
              </w:numPr>
              <w:pBdr>
                <w:top w:val="nil"/>
                <w:left w:val="nil"/>
                <w:bottom w:val="nil"/>
                <w:right w:val="nil"/>
                <w:between w:val="nil"/>
              </w:pBdr>
              <w:spacing w:line="240" w:lineRule="auto"/>
              <w:jc w:val="both"/>
            </w:pPr>
            <w:r>
              <w:t xml:space="preserve">Only MSI High is captured by the targeted panel. </w:t>
            </w:r>
          </w:p>
          <w:p w14:paraId="0BC0C7A7" w14:textId="77777777" w:rsidR="00D37B61" w:rsidRDefault="00000000">
            <w:pPr>
              <w:keepLines/>
              <w:widowControl w:val="0"/>
              <w:numPr>
                <w:ilvl w:val="0"/>
                <w:numId w:val="2"/>
              </w:numPr>
              <w:spacing w:line="240" w:lineRule="auto"/>
              <w:jc w:val="both"/>
            </w:pPr>
            <w:r>
              <w:t xml:space="preserve">HRD is missed by both panels </w:t>
            </w:r>
          </w:p>
        </w:tc>
      </w:tr>
      <w:tr w:rsidR="00D37B61" w14:paraId="65E65897" w14:textId="77777777">
        <w:trPr>
          <w:trHeight w:val="420"/>
        </w:trPr>
        <w:tc>
          <w:tcPr>
            <w:tcW w:w="2688" w:type="dxa"/>
            <w:shd w:val="clear" w:color="auto" w:fill="auto"/>
            <w:tcMar>
              <w:top w:w="100" w:type="dxa"/>
              <w:left w:w="100" w:type="dxa"/>
              <w:bottom w:w="100" w:type="dxa"/>
              <w:right w:w="100" w:type="dxa"/>
            </w:tcMar>
          </w:tcPr>
          <w:p w14:paraId="161D7FF7" w14:textId="77777777" w:rsidR="00D37B61" w:rsidRDefault="00000000">
            <w:pPr>
              <w:keepLines/>
              <w:widowControl w:val="0"/>
              <w:pBdr>
                <w:top w:val="nil"/>
                <w:left w:val="nil"/>
                <w:bottom w:val="nil"/>
                <w:right w:val="nil"/>
                <w:between w:val="nil"/>
              </w:pBdr>
              <w:spacing w:line="240" w:lineRule="auto"/>
              <w:jc w:val="center"/>
            </w:pPr>
            <w:r>
              <w:t>Other Events</w:t>
            </w:r>
          </w:p>
          <w:p w14:paraId="04C2D304" w14:textId="77777777" w:rsidR="00D37B61" w:rsidRDefault="00000000">
            <w:pPr>
              <w:keepLines/>
              <w:widowControl w:val="0"/>
              <w:pBdr>
                <w:top w:val="nil"/>
                <w:left w:val="nil"/>
                <w:bottom w:val="nil"/>
                <w:right w:val="nil"/>
                <w:between w:val="nil"/>
              </w:pBdr>
              <w:spacing w:line="240" w:lineRule="auto"/>
              <w:jc w:val="center"/>
            </w:pPr>
            <w:r>
              <w:t>(Fusions,</w:t>
            </w:r>
          </w:p>
          <w:p w14:paraId="41260157" w14:textId="77777777" w:rsidR="00D37B61" w:rsidRDefault="00000000">
            <w:pPr>
              <w:keepLines/>
              <w:widowControl w:val="0"/>
              <w:pBdr>
                <w:top w:val="nil"/>
                <w:left w:val="nil"/>
                <w:bottom w:val="nil"/>
                <w:right w:val="nil"/>
                <w:between w:val="nil"/>
              </w:pBdr>
              <w:spacing w:line="240" w:lineRule="auto"/>
              <w:jc w:val="center"/>
            </w:pPr>
            <w:r>
              <w:t>Homozygous disruption,</w:t>
            </w:r>
          </w:p>
          <w:p w14:paraId="4185D32C" w14:textId="6282F9E0" w:rsidR="00D37B61" w:rsidRDefault="00000000" w:rsidP="00BE4EB3">
            <w:pPr>
              <w:keepLines/>
              <w:widowControl w:val="0"/>
              <w:pBdr>
                <w:top w:val="nil"/>
                <w:left w:val="nil"/>
                <w:bottom w:val="nil"/>
                <w:right w:val="nil"/>
                <w:between w:val="nil"/>
              </w:pBdr>
              <w:spacing w:line="240" w:lineRule="auto"/>
              <w:jc w:val="center"/>
            </w:pPr>
            <w:r>
              <w:t>Viral Inserts,</w:t>
            </w:r>
            <w:r w:rsidR="00BE4EB3">
              <w:t xml:space="preserve"> </w:t>
            </w:r>
            <w:r>
              <w:t>HLA Type)</w:t>
            </w:r>
          </w:p>
        </w:tc>
        <w:tc>
          <w:tcPr>
            <w:tcW w:w="6746" w:type="dxa"/>
            <w:shd w:val="clear" w:color="auto" w:fill="auto"/>
            <w:tcMar>
              <w:top w:w="100" w:type="dxa"/>
              <w:left w:w="100" w:type="dxa"/>
              <w:bottom w:w="100" w:type="dxa"/>
              <w:right w:w="100" w:type="dxa"/>
            </w:tcMar>
          </w:tcPr>
          <w:p w14:paraId="0384625B" w14:textId="77777777" w:rsidR="00BE4EB3" w:rsidRDefault="00BE4EB3">
            <w:pPr>
              <w:keepLines/>
              <w:widowControl w:val="0"/>
              <w:pBdr>
                <w:top w:val="nil"/>
                <w:left w:val="nil"/>
                <w:bottom w:val="nil"/>
                <w:right w:val="nil"/>
                <w:between w:val="nil"/>
              </w:pBdr>
              <w:spacing w:line="240" w:lineRule="auto"/>
              <w:jc w:val="both"/>
            </w:pPr>
          </w:p>
          <w:p w14:paraId="7CABCD0D" w14:textId="17ECE111" w:rsidR="00D37B61" w:rsidRDefault="00000000" w:rsidP="00BE4EB3">
            <w:pPr>
              <w:keepLines/>
              <w:widowControl w:val="0"/>
              <w:numPr>
                <w:ilvl w:val="0"/>
                <w:numId w:val="5"/>
              </w:numPr>
              <w:pBdr>
                <w:top w:val="nil"/>
                <w:left w:val="nil"/>
                <w:bottom w:val="nil"/>
                <w:right w:val="nil"/>
                <w:between w:val="nil"/>
              </w:pBdr>
              <w:spacing w:line="240" w:lineRule="auto"/>
              <w:jc w:val="both"/>
            </w:pPr>
            <w:r>
              <w:t xml:space="preserve">All events are assumed to be missed by both the panels. </w:t>
            </w:r>
          </w:p>
        </w:tc>
      </w:tr>
    </w:tbl>
    <w:p w14:paraId="50E19636" w14:textId="77777777" w:rsidR="00D37B61" w:rsidRDefault="00000000">
      <w:pPr>
        <w:spacing w:before="200" w:after="160" w:line="240" w:lineRule="auto"/>
        <w:ind w:firstLine="720"/>
        <w:jc w:val="both"/>
      </w:pPr>
      <w:r>
        <w:t xml:space="preserve">Finally, we applied the above coverage rules across all events in the Hartwig database, and thereby computed coverage labels for the comprehensive and targeted panels. Aggregations of these coverage labels served as the basis for the presented figures.  </w:t>
      </w:r>
    </w:p>
    <w:p w14:paraId="794C6B08" w14:textId="77777777" w:rsidR="00D37B61" w:rsidRDefault="00D37B61">
      <w:pPr>
        <w:spacing w:line="240" w:lineRule="auto"/>
      </w:pPr>
    </w:p>
    <w:p w14:paraId="03B314CF" w14:textId="77777777" w:rsidR="00D37B61" w:rsidRDefault="00000000">
      <w:pPr>
        <w:spacing w:line="240" w:lineRule="auto"/>
      </w:pPr>
      <w:r>
        <w:rPr>
          <w:noProof/>
        </w:rPr>
        <w:lastRenderedPageBreak/>
        <w:drawing>
          <wp:inline distT="114300" distB="114300" distL="114300" distR="114300" wp14:anchorId="7D2A5405" wp14:editId="5BE640CC">
            <wp:extent cx="2745027" cy="3292238"/>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0"/>
                    <a:srcRect/>
                    <a:stretch>
                      <a:fillRect/>
                    </a:stretch>
                  </pic:blipFill>
                  <pic:spPr>
                    <a:xfrm>
                      <a:off x="0" y="0"/>
                      <a:ext cx="2745027" cy="3292238"/>
                    </a:xfrm>
                    <a:prstGeom prst="rect">
                      <a:avLst/>
                    </a:prstGeom>
                    <a:ln/>
                  </pic:spPr>
                </pic:pic>
              </a:graphicData>
            </a:graphic>
          </wp:inline>
        </w:drawing>
      </w:r>
      <w:r>
        <w:t xml:space="preserve">          </w:t>
      </w:r>
      <w:r>
        <w:rPr>
          <w:noProof/>
        </w:rPr>
        <w:drawing>
          <wp:inline distT="114300" distB="114300" distL="114300" distR="114300" wp14:anchorId="2B50AB0D" wp14:editId="50BEDC80">
            <wp:extent cx="2209409" cy="310585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1"/>
                    <a:srcRect/>
                    <a:stretch>
                      <a:fillRect/>
                    </a:stretch>
                  </pic:blipFill>
                  <pic:spPr>
                    <a:xfrm>
                      <a:off x="0" y="0"/>
                      <a:ext cx="2209409" cy="3105850"/>
                    </a:xfrm>
                    <a:prstGeom prst="rect">
                      <a:avLst/>
                    </a:prstGeom>
                    <a:ln/>
                  </pic:spPr>
                </pic:pic>
              </a:graphicData>
            </a:graphic>
          </wp:inline>
        </w:drawing>
      </w:r>
    </w:p>
    <w:p w14:paraId="08320944" w14:textId="77777777" w:rsidR="00D37B61" w:rsidRDefault="00D37B61">
      <w:pPr>
        <w:spacing w:line="240" w:lineRule="auto"/>
      </w:pPr>
    </w:p>
    <w:p w14:paraId="029A34CC" w14:textId="77777777" w:rsidR="00D37B61" w:rsidRDefault="00D37B61">
      <w:pPr>
        <w:spacing w:line="240" w:lineRule="auto"/>
      </w:pPr>
    </w:p>
    <w:p w14:paraId="70E82756" w14:textId="77777777" w:rsidR="00D37B61" w:rsidRDefault="00000000">
      <w:pPr>
        <w:pStyle w:val="Heading3"/>
        <w:spacing w:before="160" w:line="240" w:lineRule="auto"/>
        <w:jc w:val="both"/>
      </w:pPr>
      <w:bookmarkStart w:id="40" w:name="_pmkqosnssy85" w:colFirst="0" w:colLast="0"/>
      <w:bookmarkEnd w:id="40"/>
      <w:r>
        <w:t xml:space="preserve">Figure Description </w:t>
      </w:r>
    </w:p>
    <w:p w14:paraId="1539F50D" w14:textId="77777777" w:rsidR="00D37B61" w:rsidRDefault="00000000">
      <w:pPr>
        <w:spacing w:after="160" w:line="240" w:lineRule="auto"/>
        <w:ind w:firstLine="720"/>
        <w:jc w:val="both"/>
      </w:pPr>
      <w:r>
        <w:t xml:space="preserve">The topmost </w:t>
      </w:r>
      <w:r>
        <w:rPr>
          <w:u w:val="single"/>
        </w:rPr>
        <w:t>Highest evidence level treatment option identified by each test strategy</w:t>
      </w:r>
      <w:r>
        <w:t xml:space="preserve"> figure compares the distributions of best evidence level treatment options measured by WGS, the comprehensive gene panel, and targeted gene panels. The evidence levels are ordered high to low from FDA Approved &gt; Drug Repurposing &gt; Experimental/Other Guidelines &gt; Other </w:t>
      </w:r>
      <w:proofErr w:type="gramStart"/>
      <w:r>
        <w:t>&gt;  None</w:t>
      </w:r>
      <w:proofErr w:type="gramEnd"/>
      <w:r>
        <w:t xml:space="preserve"> (see description of evidence levels in Potentially Actionable Events section). The x-axis shows the total number of patients in the Hartwig database. The number of patients with each best evidence level treatment option is labeled within the bars. </w:t>
      </w:r>
    </w:p>
    <w:p w14:paraId="6B7A9FDA" w14:textId="77777777" w:rsidR="00D37B61" w:rsidRDefault="00000000">
      <w:pPr>
        <w:spacing w:after="160" w:line="240" w:lineRule="auto"/>
        <w:ind w:firstLine="720"/>
        <w:jc w:val="both"/>
      </w:pPr>
      <w:r>
        <w:t xml:space="preserve">The </w:t>
      </w:r>
      <w:r>
        <w:rPr>
          <w:u w:val="single"/>
        </w:rPr>
        <w:t>Average number of identified potentially actionable events identified by test strategy</w:t>
      </w:r>
      <w:r>
        <w:t xml:space="preserve"> figure compares the average number of events within each evidence level measured by WGS, the comprehensive gene panel, and targeted gene panels - across all patients in the cohort. The y-axes represent the WGS, comprehensive panel, and targeted panel, and x-axes show the average number of events. The labels within the bars indicate the average event counts within each evidence level, while the outer labels show the overall average number of events. </w:t>
      </w:r>
    </w:p>
    <w:p w14:paraId="5A536DDF" w14:textId="77777777" w:rsidR="00D37B61" w:rsidRDefault="00000000">
      <w:pPr>
        <w:spacing w:after="160" w:line="240" w:lineRule="auto"/>
        <w:ind w:firstLine="720"/>
        <w:jc w:val="both"/>
      </w:pPr>
      <w:r>
        <w:t xml:space="preserve"> The </w:t>
      </w:r>
      <w:r>
        <w:rPr>
          <w:u w:val="single"/>
        </w:rPr>
        <w:t>Top missed events by Comprehensive/Targeted Panels vs WGS</w:t>
      </w:r>
      <w:r>
        <w:t xml:space="preserve"> figures summarize the most frequent missed event types by the respective comprehensive and targeted panels, faceted by evidence level. For each figure, the y-axes share the 5 most frequent missed event types within each evidence level, while the x-axes represent the number of missed events. The range of the x-axes differ between the comprehensive and targeted panel figures.</w:t>
      </w:r>
    </w:p>
    <w:p w14:paraId="4DAAF1A2" w14:textId="77777777" w:rsidR="00D37B61" w:rsidRDefault="00D37B61">
      <w:pPr>
        <w:spacing w:after="160" w:line="240" w:lineRule="auto"/>
        <w:ind w:firstLine="720"/>
        <w:jc w:val="both"/>
      </w:pPr>
    </w:p>
    <w:p w14:paraId="3204A3BA" w14:textId="77777777" w:rsidR="00D37B61" w:rsidRDefault="00000000">
      <w:pPr>
        <w:pStyle w:val="Heading2"/>
        <w:spacing w:after="160" w:line="240" w:lineRule="auto"/>
        <w:jc w:val="both"/>
      </w:pPr>
      <w:bookmarkStart w:id="41" w:name="_t8ms761dsxkn" w:colFirst="0" w:colLast="0"/>
      <w:bookmarkEnd w:id="41"/>
      <w:r>
        <w:br w:type="page"/>
      </w:r>
    </w:p>
    <w:p w14:paraId="7709E22C" w14:textId="77777777" w:rsidR="00D37B61" w:rsidRDefault="00000000">
      <w:pPr>
        <w:pStyle w:val="Heading2"/>
        <w:spacing w:after="160" w:line="240" w:lineRule="auto"/>
        <w:jc w:val="both"/>
      </w:pPr>
      <w:bookmarkStart w:id="42" w:name="_anqavsx3rjc4" w:colFirst="0" w:colLast="0"/>
      <w:bookmarkEnd w:id="42"/>
      <w:r>
        <w:lastRenderedPageBreak/>
        <w:t xml:space="preserve">Citations </w:t>
      </w:r>
    </w:p>
    <w:p w14:paraId="51369663" w14:textId="77777777" w:rsidR="00D37B61" w:rsidRDefault="00000000">
      <w:pPr>
        <w:widowControl w:val="0"/>
        <w:pBdr>
          <w:top w:val="nil"/>
          <w:left w:val="nil"/>
          <w:bottom w:val="nil"/>
          <w:right w:val="nil"/>
          <w:between w:val="nil"/>
        </w:pBdr>
        <w:spacing w:before="220" w:line="240" w:lineRule="auto"/>
        <w:ind w:left="440" w:hanging="440"/>
        <w:rPr>
          <w:color w:val="000000"/>
        </w:rPr>
      </w:pPr>
      <w:hyperlink r:id="rId72">
        <w:r>
          <w:rPr>
            <w:color w:val="000000"/>
          </w:rPr>
          <w:t xml:space="preserve">Alexandrov, </w:t>
        </w:r>
        <w:proofErr w:type="spellStart"/>
        <w:r>
          <w:rPr>
            <w:color w:val="000000"/>
          </w:rPr>
          <w:t>Ludmil</w:t>
        </w:r>
        <w:proofErr w:type="spellEnd"/>
        <w:r>
          <w:rPr>
            <w:color w:val="000000"/>
          </w:rPr>
          <w:t xml:space="preserve"> B., </w:t>
        </w:r>
        <w:proofErr w:type="spellStart"/>
        <w:r>
          <w:rPr>
            <w:color w:val="000000"/>
          </w:rPr>
          <w:t>Jaegil</w:t>
        </w:r>
        <w:proofErr w:type="spellEnd"/>
        <w:r>
          <w:rPr>
            <w:color w:val="000000"/>
          </w:rPr>
          <w:t xml:space="preserve"> Kim, Nicholas J. </w:t>
        </w:r>
        <w:proofErr w:type="spellStart"/>
        <w:r>
          <w:rPr>
            <w:color w:val="000000"/>
          </w:rPr>
          <w:t>Haradhvala</w:t>
        </w:r>
        <w:proofErr w:type="spellEnd"/>
        <w:r>
          <w:rPr>
            <w:color w:val="000000"/>
          </w:rPr>
          <w:t xml:space="preserve">, Mi Ni Huang, Alvin Wei Tian Ng, Yang Wu, </w:t>
        </w:r>
        <w:proofErr w:type="spellStart"/>
        <w:r>
          <w:rPr>
            <w:color w:val="000000"/>
          </w:rPr>
          <w:t>Arnoud</w:t>
        </w:r>
        <w:proofErr w:type="spellEnd"/>
        <w:r>
          <w:rPr>
            <w:color w:val="000000"/>
          </w:rPr>
          <w:t xml:space="preserve"> Boot, et al. 2023. “Author Correction: The Repertoire of Mutational Signatures in Human Cancer.” </w:t>
        </w:r>
      </w:hyperlink>
      <w:hyperlink r:id="rId73">
        <w:r>
          <w:rPr>
            <w:i/>
            <w:color w:val="000000"/>
          </w:rPr>
          <w:t>Nature</w:t>
        </w:r>
      </w:hyperlink>
      <w:hyperlink r:id="rId74">
        <w:r>
          <w:rPr>
            <w:color w:val="000000"/>
          </w:rPr>
          <w:t xml:space="preserve"> 614 (7948): E41.</w:t>
        </w:r>
      </w:hyperlink>
    </w:p>
    <w:p w14:paraId="36343D17" w14:textId="77777777" w:rsidR="00D37B61" w:rsidRDefault="00000000">
      <w:pPr>
        <w:widowControl w:val="0"/>
        <w:pBdr>
          <w:top w:val="nil"/>
          <w:left w:val="nil"/>
          <w:bottom w:val="nil"/>
          <w:right w:val="nil"/>
          <w:between w:val="nil"/>
        </w:pBdr>
        <w:spacing w:line="240" w:lineRule="auto"/>
        <w:ind w:left="440" w:hanging="440"/>
        <w:rPr>
          <w:color w:val="000000"/>
        </w:rPr>
      </w:pPr>
      <w:hyperlink r:id="rId75">
        <w:r>
          <w:rPr>
            <w:color w:val="000000"/>
          </w:rPr>
          <w:t xml:space="preserve">Alexandrov, </w:t>
        </w:r>
        <w:proofErr w:type="spellStart"/>
        <w:r>
          <w:rPr>
            <w:color w:val="000000"/>
          </w:rPr>
          <w:t>Ludmil</w:t>
        </w:r>
        <w:proofErr w:type="spellEnd"/>
        <w:r>
          <w:rPr>
            <w:color w:val="000000"/>
          </w:rPr>
          <w:t xml:space="preserve"> B., Serena Nik-Zainal, David C. Wedge, Samuel A. J. R. Aparicio, Sam </w:t>
        </w:r>
        <w:proofErr w:type="spellStart"/>
        <w:r>
          <w:rPr>
            <w:color w:val="000000"/>
          </w:rPr>
          <w:t>Behjati</w:t>
        </w:r>
        <w:proofErr w:type="spellEnd"/>
        <w:r>
          <w:rPr>
            <w:color w:val="000000"/>
          </w:rPr>
          <w:t xml:space="preserve">, Andrew V. </w:t>
        </w:r>
        <w:proofErr w:type="spellStart"/>
        <w:r>
          <w:rPr>
            <w:color w:val="000000"/>
          </w:rPr>
          <w:t>Biankin</w:t>
        </w:r>
        <w:proofErr w:type="spellEnd"/>
        <w:r>
          <w:rPr>
            <w:color w:val="000000"/>
          </w:rPr>
          <w:t xml:space="preserve">, Graham R. </w:t>
        </w:r>
        <w:proofErr w:type="spellStart"/>
        <w:r>
          <w:rPr>
            <w:color w:val="000000"/>
          </w:rPr>
          <w:t>Bignell</w:t>
        </w:r>
        <w:proofErr w:type="spellEnd"/>
        <w:r>
          <w:rPr>
            <w:color w:val="000000"/>
          </w:rPr>
          <w:t xml:space="preserve">, et al. 2013. “Signatures of Mutational Processes in Human Cancer.” </w:t>
        </w:r>
      </w:hyperlink>
      <w:hyperlink r:id="rId76">
        <w:r>
          <w:rPr>
            <w:i/>
            <w:color w:val="000000"/>
          </w:rPr>
          <w:t>Nature</w:t>
        </w:r>
      </w:hyperlink>
      <w:hyperlink r:id="rId77">
        <w:r>
          <w:rPr>
            <w:color w:val="000000"/>
          </w:rPr>
          <w:t xml:space="preserve"> 500 (7463): 415–21.</w:t>
        </w:r>
      </w:hyperlink>
    </w:p>
    <w:p w14:paraId="0D186F21" w14:textId="77777777" w:rsidR="00D37B61" w:rsidRDefault="00000000">
      <w:pPr>
        <w:widowControl w:val="0"/>
        <w:pBdr>
          <w:top w:val="nil"/>
          <w:left w:val="nil"/>
          <w:bottom w:val="nil"/>
          <w:right w:val="nil"/>
          <w:between w:val="nil"/>
        </w:pBdr>
        <w:spacing w:line="240" w:lineRule="auto"/>
        <w:ind w:left="440" w:hanging="440"/>
        <w:rPr>
          <w:color w:val="000000"/>
        </w:rPr>
      </w:pPr>
      <w:hyperlink r:id="rId78">
        <w:r>
          <w:rPr>
            <w:color w:val="000000"/>
          </w:rPr>
          <w:t xml:space="preserve">Forbes, Simon A., David </w:t>
        </w:r>
        <w:proofErr w:type="spellStart"/>
        <w:r>
          <w:rPr>
            <w:color w:val="000000"/>
          </w:rPr>
          <w:t>Beare</w:t>
        </w:r>
        <w:proofErr w:type="spellEnd"/>
        <w:r>
          <w:rPr>
            <w:color w:val="000000"/>
          </w:rPr>
          <w:t xml:space="preserve">, Harry </w:t>
        </w:r>
        <w:proofErr w:type="spellStart"/>
        <w:r>
          <w:rPr>
            <w:color w:val="000000"/>
          </w:rPr>
          <w:t>Boutselakis</w:t>
        </w:r>
        <w:proofErr w:type="spellEnd"/>
        <w:r>
          <w:rPr>
            <w:color w:val="000000"/>
          </w:rPr>
          <w:t xml:space="preserve">, Sally Bamford, Nidhi </w:t>
        </w:r>
        <w:proofErr w:type="spellStart"/>
        <w:r>
          <w:rPr>
            <w:color w:val="000000"/>
          </w:rPr>
          <w:t>Bindal</w:t>
        </w:r>
        <w:proofErr w:type="spellEnd"/>
        <w:r>
          <w:rPr>
            <w:color w:val="000000"/>
          </w:rPr>
          <w:t xml:space="preserve">, John Tate, Charlotte G. Cole, et al. 2017. “COSMIC: Somatic Cancer Genetics at High-Resolution.” </w:t>
        </w:r>
      </w:hyperlink>
      <w:hyperlink r:id="rId79">
        <w:r>
          <w:rPr>
            <w:i/>
            <w:color w:val="000000"/>
          </w:rPr>
          <w:t>Nucleic Acids Research</w:t>
        </w:r>
      </w:hyperlink>
      <w:hyperlink r:id="rId80">
        <w:r>
          <w:rPr>
            <w:color w:val="000000"/>
          </w:rPr>
          <w:t xml:space="preserve"> 45 (D1): D777–83.</w:t>
        </w:r>
      </w:hyperlink>
    </w:p>
    <w:p w14:paraId="7D6BFB4F" w14:textId="77777777" w:rsidR="00D37B61" w:rsidRDefault="00000000">
      <w:pPr>
        <w:widowControl w:val="0"/>
        <w:pBdr>
          <w:top w:val="nil"/>
          <w:left w:val="nil"/>
          <w:bottom w:val="nil"/>
          <w:right w:val="nil"/>
          <w:between w:val="nil"/>
        </w:pBdr>
        <w:spacing w:line="240" w:lineRule="auto"/>
        <w:ind w:left="440" w:hanging="440"/>
        <w:rPr>
          <w:color w:val="000000"/>
        </w:rPr>
      </w:pPr>
      <w:hyperlink r:id="rId81">
        <w:r>
          <w:rPr>
            <w:color w:val="000000"/>
          </w:rPr>
          <w:t xml:space="preserve">Huang, Kuan-Lin, R. Jay </w:t>
        </w:r>
        <w:proofErr w:type="spellStart"/>
        <w:r>
          <w:rPr>
            <w:color w:val="000000"/>
          </w:rPr>
          <w:t>Mashl</w:t>
        </w:r>
        <w:proofErr w:type="spellEnd"/>
        <w:r>
          <w:rPr>
            <w:color w:val="000000"/>
          </w:rPr>
          <w:t xml:space="preserve">, </w:t>
        </w:r>
        <w:proofErr w:type="spellStart"/>
        <w:r>
          <w:rPr>
            <w:color w:val="000000"/>
          </w:rPr>
          <w:t>Yige</w:t>
        </w:r>
        <w:proofErr w:type="spellEnd"/>
        <w:r>
          <w:rPr>
            <w:color w:val="000000"/>
          </w:rPr>
          <w:t xml:space="preserve"> Wu, Deborah I. Ritter, </w:t>
        </w:r>
        <w:proofErr w:type="spellStart"/>
        <w:r>
          <w:rPr>
            <w:color w:val="000000"/>
          </w:rPr>
          <w:t>Jiayin</w:t>
        </w:r>
        <w:proofErr w:type="spellEnd"/>
        <w:r>
          <w:rPr>
            <w:color w:val="000000"/>
          </w:rPr>
          <w:t xml:space="preserve"> Wang, Clara Oh, Marta </w:t>
        </w:r>
        <w:proofErr w:type="spellStart"/>
        <w:r>
          <w:rPr>
            <w:color w:val="000000"/>
          </w:rPr>
          <w:t>Paczkowska</w:t>
        </w:r>
        <w:proofErr w:type="spellEnd"/>
        <w:r>
          <w:rPr>
            <w:color w:val="000000"/>
          </w:rPr>
          <w:t xml:space="preserve">, et al. 2018. “Pathogenic Germline Variants in 10,389 Adult Cancers.” </w:t>
        </w:r>
      </w:hyperlink>
      <w:hyperlink r:id="rId82">
        <w:r>
          <w:rPr>
            <w:i/>
            <w:color w:val="000000"/>
          </w:rPr>
          <w:t>Cell</w:t>
        </w:r>
      </w:hyperlink>
      <w:hyperlink r:id="rId83">
        <w:r>
          <w:rPr>
            <w:color w:val="000000"/>
          </w:rPr>
          <w:t xml:space="preserve"> 173 (2): 355–</w:t>
        </w:r>
        <w:proofErr w:type="gramStart"/>
        <w:r>
          <w:rPr>
            <w:color w:val="000000"/>
          </w:rPr>
          <w:t>70.e</w:t>
        </w:r>
        <w:proofErr w:type="gramEnd"/>
        <w:r>
          <w:rPr>
            <w:color w:val="000000"/>
          </w:rPr>
          <w:t>14.</w:t>
        </w:r>
      </w:hyperlink>
    </w:p>
    <w:p w14:paraId="3294F9FD" w14:textId="77777777" w:rsidR="00D37B61" w:rsidRDefault="00000000">
      <w:pPr>
        <w:widowControl w:val="0"/>
        <w:pBdr>
          <w:top w:val="nil"/>
          <w:left w:val="nil"/>
          <w:bottom w:val="nil"/>
          <w:right w:val="nil"/>
          <w:between w:val="nil"/>
        </w:pBdr>
        <w:spacing w:line="240" w:lineRule="auto"/>
        <w:ind w:left="440" w:hanging="440"/>
        <w:rPr>
          <w:color w:val="000000"/>
        </w:rPr>
      </w:pPr>
      <w:hyperlink r:id="rId84">
        <w:proofErr w:type="spellStart"/>
        <w:r>
          <w:rPr>
            <w:color w:val="000000"/>
          </w:rPr>
          <w:t>Krzywinski</w:t>
        </w:r>
        <w:proofErr w:type="spellEnd"/>
        <w:r>
          <w:rPr>
            <w:color w:val="000000"/>
          </w:rPr>
          <w:t xml:space="preserve">, Martin, Jacqueline Schein, </w:t>
        </w:r>
        <w:proofErr w:type="spellStart"/>
        <w:r>
          <w:rPr>
            <w:color w:val="000000"/>
          </w:rPr>
          <w:t>Inanç</w:t>
        </w:r>
        <w:proofErr w:type="spellEnd"/>
        <w:r>
          <w:rPr>
            <w:color w:val="000000"/>
          </w:rPr>
          <w:t xml:space="preserve"> Birol, Joseph Connors, Randy Gascoyne, Doug Horsman, Steven J. Jones, and Marco A. Marra. 2009. “</w:t>
        </w:r>
        <w:proofErr w:type="spellStart"/>
        <w:r>
          <w:rPr>
            <w:color w:val="000000"/>
          </w:rPr>
          <w:t>Circos</w:t>
        </w:r>
        <w:proofErr w:type="spellEnd"/>
        <w:r>
          <w:rPr>
            <w:color w:val="000000"/>
          </w:rPr>
          <w:t xml:space="preserve">: An Information Aesthetic for Comparative Genomics.” </w:t>
        </w:r>
      </w:hyperlink>
      <w:hyperlink r:id="rId85">
        <w:r>
          <w:rPr>
            <w:i/>
            <w:color w:val="000000"/>
          </w:rPr>
          <w:t>Genome Research</w:t>
        </w:r>
      </w:hyperlink>
      <w:hyperlink r:id="rId86">
        <w:r>
          <w:rPr>
            <w:color w:val="000000"/>
          </w:rPr>
          <w:t xml:space="preserve"> 19 (9): 1639–45.</w:t>
        </w:r>
      </w:hyperlink>
    </w:p>
    <w:p w14:paraId="18473528" w14:textId="77777777" w:rsidR="00D37B61" w:rsidRDefault="00000000">
      <w:pPr>
        <w:widowControl w:val="0"/>
        <w:pBdr>
          <w:top w:val="nil"/>
          <w:left w:val="nil"/>
          <w:bottom w:val="nil"/>
          <w:right w:val="nil"/>
          <w:between w:val="nil"/>
        </w:pBdr>
        <w:spacing w:line="240" w:lineRule="auto"/>
        <w:ind w:left="440" w:hanging="440"/>
        <w:rPr>
          <w:color w:val="000000"/>
        </w:rPr>
      </w:pPr>
      <w:hyperlink r:id="rId87">
        <w:r>
          <w:rPr>
            <w:color w:val="000000"/>
          </w:rPr>
          <w:t xml:space="preserve">Landrum, Melissa J., Jennifer M. Lee, Mark Benson, Garth Brown, Chen Chao, </w:t>
        </w:r>
        <w:proofErr w:type="spellStart"/>
        <w:r>
          <w:rPr>
            <w:color w:val="000000"/>
          </w:rPr>
          <w:t>Shanmuga</w:t>
        </w:r>
        <w:proofErr w:type="spellEnd"/>
        <w:r>
          <w:rPr>
            <w:color w:val="000000"/>
          </w:rPr>
          <w:t xml:space="preserve"> </w:t>
        </w:r>
        <w:proofErr w:type="spellStart"/>
        <w:r>
          <w:rPr>
            <w:color w:val="000000"/>
          </w:rPr>
          <w:t>Chitipiralla</w:t>
        </w:r>
        <w:proofErr w:type="spellEnd"/>
        <w:r>
          <w:rPr>
            <w:color w:val="000000"/>
          </w:rPr>
          <w:t xml:space="preserve">, </w:t>
        </w:r>
        <w:proofErr w:type="spellStart"/>
        <w:r>
          <w:rPr>
            <w:color w:val="000000"/>
          </w:rPr>
          <w:t>Baoshan</w:t>
        </w:r>
        <w:proofErr w:type="spellEnd"/>
        <w:r>
          <w:rPr>
            <w:color w:val="000000"/>
          </w:rPr>
          <w:t xml:space="preserve"> Gu, et al. 2016. “</w:t>
        </w:r>
        <w:proofErr w:type="spellStart"/>
        <w:r>
          <w:rPr>
            <w:color w:val="000000"/>
          </w:rPr>
          <w:t>ClinVar</w:t>
        </w:r>
        <w:proofErr w:type="spellEnd"/>
        <w:r>
          <w:rPr>
            <w:color w:val="000000"/>
          </w:rPr>
          <w:t xml:space="preserve">: Public Archive of Interpretations of Clinically Relevant Variants.” </w:t>
        </w:r>
      </w:hyperlink>
      <w:hyperlink r:id="rId88">
        <w:r>
          <w:rPr>
            <w:i/>
            <w:color w:val="000000"/>
          </w:rPr>
          <w:t>Nucleic Acids Research</w:t>
        </w:r>
      </w:hyperlink>
      <w:hyperlink r:id="rId89">
        <w:r>
          <w:rPr>
            <w:color w:val="000000"/>
          </w:rPr>
          <w:t xml:space="preserve"> 44 (D1): D862–68.</w:t>
        </w:r>
      </w:hyperlink>
    </w:p>
    <w:p w14:paraId="7ECEF5A0" w14:textId="77777777" w:rsidR="00D37B61" w:rsidRDefault="00000000">
      <w:pPr>
        <w:widowControl w:val="0"/>
        <w:pBdr>
          <w:top w:val="nil"/>
          <w:left w:val="nil"/>
          <w:bottom w:val="nil"/>
          <w:right w:val="nil"/>
          <w:between w:val="nil"/>
        </w:pBdr>
        <w:spacing w:line="240" w:lineRule="auto"/>
        <w:ind w:left="440" w:hanging="440"/>
        <w:rPr>
          <w:color w:val="000000"/>
        </w:rPr>
      </w:pPr>
      <w:hyperlink r:id="rId90">
        <w:r>
          <w:rPr>
            <w:color w:val="000000"/>
          </w:rPr>
          <w:t xml:space="preserve">Li, Marilyn M., Michael Datto, Eric J. </w:t>
        </w:r>
        <w:proofErr w:type="spellStart"/>
        <w:r>
          <w:rPr>
            <w:color w:val="000000"/>
          </w:rPr>
          <w:t>Duncavage</w:t>
        </w:r>
        <w:proofErr w:type="spellEnd"/>
        <w:r>
          <w:rPr>
            <w:color w:val="000000"/>
          </w:rPr>
          <w:t xml:space="preserve">, Shashikant Kulkarni, Neal I. Lindeman, </w:t>
        </w:r>
        <w:proofErr w:type="spellStart"/>
        <w:r>
          <w:rPr>
            <w:color w:val="000000"/>
          </w:rPr>
          <w:t>Somak</w:t>
        </w:r>
        <w:proofErr w:type="spellEnd"/>
        <w:r>
          <w:rPr>
            <w:color w:val="000000"/>
          </w:rPr>
          <w:t xml:space="preserve"> Roy, </w:t>
        </w:r>
        <w:proofErr w:type="spellStart"/>
        <w:r>
          <w:rPr>
            <w:color w:val="000000"/>
          </w:rPr>
          <w:t>Apostolia</w:t>
        </w:r>
        <w:proofErr w:type="spellEnd"/>
        <w:r>
          <w:rPr>
            <w:color w:val="000000"/>
          </w:rPr>
          <w:t xml:space="preserve"> M. </w:t>
        </w:r>
        <w:proofErr w:type="spellStart"/>
        <w:r>
          <w:rPr>
            <w:color w:val="000000"/>
          </w:rPr>
          <w:t>Tsimberidou</w:t>
        </w:r>
        <w:proofErr w:type="spellEnd"/>
        <w:r>
          <w:rPr>
            <w:color w:val="000000"/>
          </w:rPr>
          <w:t xml:space="preserve">, et al. 2017. “Standards and Guidelines for the Interpretation and Reporting of Sequence Variants in Cancer: A Joint Consensus Recommendation of the Association for Molecular Pathology, American Society of Clinical Oncology, and College of American Pathologists.” </w:t>
        </w:r>
      </w:hyperlink>
      <w:hyperlink r:id="rId91">
        <w:r>
          <w:rPr>
            <w:i/>
            <w:color w:val="000000"/>
          </w:rPr>
          <w:t>The Journal of Molecular Diagnostics: JMD</w:t>
        </w:r>
      </w:hyperlink>
      <w:hyperlink r:id="rId92">
        <w:r>
          <w:rPr>
            <w:color w:val="000000"/>
          </w:rPr>
          <w:t xml:space="preserve"> 19 (1): 4–23.</w:t>
        </w:r>
      </w:hyperlink>
    </w:p>
    <w:p w14:paraId="64B200DF" w14:textId="77777777" w:rsidR="00D37B61" w:rsidRDefault="00000000">
      <w:pPr>
        <w:widowControl w:val="0"/>
        <w:pBdr>
          <w:top w:val="nil"/>
          <w:left w:val="nil"/>
          <w:bottom w:val="nil"/>
          <w:right w:val="nil"/>
          <w:between w:val="nil"/>
        </w:pBdr>
        <w:spacing w:line="240" w:lineRule="auto"/>
        <w:ind w:left="440" w:hanging="440"/>
        <w:rPr>
          <w:color w:val="000000"/>
        </w:rPr>
      </w:pPr>
      <w:hyperlink r:id="rId93">
        <w:proofErr w:type="spellStart"/>
        <w:r>
          <w:rPr>
            <w:color w:val="000000"/>
          </w:rPr>
          <w:t>Martincorena</w:t>
        </w:r>
        <w:proofErr w:type="spellEnd"/>
        <w:r>
          <w:rPr>
            <w:color w:val="000000"/>
          </w:rPr>
          <w:t xml:space="preserve">, </w:t>
        </w:r>
        <w:proofErr w:type="spellStart"/>
        <w:r>
          <w:rPr>
            <w:color w:val="000000"/>
          </w:rPr>
          <w:t>Iñigo</w:t>
        </w:r>
        <w:proofErr w:type="spellEnd"/>
        <w:r>
          <w:rPr>
            <w:color w:val="000000"/>
          </w:rPr>
          <w:t xml:space="preserve">, Keiran M. Raine, Moritz </w:t>
        </w:r>
        <w:proofErr w:type="spellStart"/>
        <w:r>
          <w:rPr>
            <w:color w:val="000000"/>
          </w:rPr>
          <w:t>Gerstung</w:t>
        </w:r>
        <w:proofErr w:type="spellEnd"/>
        <w:r>
          <w:rPr>
            <w:color w:val="000000"/>
          </w:rPr>
          <w:t xml:space="preserve">, Kevin J. Dawson, Kerstin </w:t>
        </w:r>
        <w:proofErr w:type="spellStart"/>
        <w:r>
          <w:rPr>
            <w:color w:val="000000"/>
          </w:rPr>
          <w:t>Haase</w:t>
        </w:r>
        <w:proofErr w:type="spellEnd"/>
        <w:r>
          <w:rPr>
            <w:color w:val="000000"/>
          </w:rPr>
          <w:t xml:space="preserve">, Peter Van Loo, Helen Davies, Michael R. Stratton, and Peter J. Campbell. 2018. “Universal Patterns of Selection in Cancer and Somatic Tissues.” </w:t>
        </w:r>
      </w:hyperlink>
      <w:hyperlink r:id="rId94">
        <w:r>
          <w:rPr>
            <w:i/>
            <w:color w:val="000000"/>
          </w:rPr>
          <w:t>Cell</w:t>
        </w:r>
      </w:hyperlink>
      <w:hyperlink r:id="rId95">
        <w:r>
          <w:rPr>
            <w:color w:val="000000"/>
          </w:rPr>
          <w:t xml:space="preserve"> 173 (7): 1823.</w:t>
        </w:r>
      </w:hyperlink>
    </w:p>
    <w:p w14:paraId="1BD84DB2" w14:textId="77777777" w:rsidR="00D37B61" w:rsidRDefault="00000000">
      <w:pPr>
        <w:widowControl w:val="0"/>
        <w:pBdr>
          <w:top w:val="nil"/>
          <w:left w:val="nil"/>
          <w:bottom w:val="nil"/>
          <w:right w:val="nil"/>
          <w:between w:val="nil"/>
        </w:pBdr>
        <w:spacing w:line="240" w:lineRule="auto"/>
        <w:ind w:left="440" w:hanging="440"/>
        <w:rPr>
          <w:color w:val="000000"/>
        </w:rPr>
      </w:pPr>
      <w:hyperlink r:id="rId96">
        <w:r>
          <w:rPr>
            <w:color w:val="000000"/>
          </w:rPr>
          <w:t xml:space="preserve">Martínez-Jiménez, Francisco, Peter Priestley, Charles Shale, Jonathan Baber, Erik </w:t>
        </w:r>
        <w:proofErr w:type="spellStart"/>
        <w:r>
          <w:rPr>
            <w:color w:val="000000"/>
          </w:rPr>
          <w:t>Rozemuller</w:t>
        </w:r>
        <w:proofErr w:type="spellEnd"/>
        <w:r>
          <w:rPr>
            <w:color w:val="000000"/>
          </w:rPr>
          <w:t xml:space="preserve">, and Edwin </w:t>
        </w:r>
        <w:proofErr w:type="spellStart"/>
        <w:r>
          <w:rPr>
            <w:color w:val="000000"/>
          </w:rPr>
          <w:t>Cuppen</w:t>
        </w:r>
        <w:proofErr w:type="spellEnd"/>
        <w:r>
          <w:rPr>
            <w:color w:val="000000"/>
          </w:rPr>
          <w:t xml:space="preserve">. 2023. “Genetic Immune Escape Landscape in Primary and Metastatic Cancer.” </w:t>
        </w:r>
      </w:hyperlink>
      <w:hyperlink r:id="rId97">
        <w:r>
          <w:rPr>
            <w:i/>
            <w:color w:val="000000"/>
          </w:rPr>
          <w:t>Nature Genetics</w:t>
        </w:r>
      </w:hyperlink>
      <w:hyperlink r:id="rId98">
        <w:r>
          <w:rPr>
            <w:color w:val="000000"/>
          </w:rPr>
          <w:t xml:space="preserve"> 55 (5): 820–31.</w:t>
        </w:r>
      </w:hyperlink>
    </w:p>
    <w:p w14:paraId="5429619B" w14:textId="77777777" w:rsidR="00D37B61" w:rsidRDefault="00000000">
      <w:pPr>
        <w:widowControl w:val="0"/>
        <w:pBdr>
          <w:top w:val="nil"/>
          <w:left w:val="nil"/>
          <w:bottom w:val="nil"/>
          <w:right w:val="nil"/>
          <w:between w:val="nil"/>
        </w:pBdr>
        <w:spacing w:line="240" w:lineRule="auto"/>
        <w:ind w:left="440" w:hanging="440"/>
        <w:rPr>
          <w:color w:val="000000"/>
        </w:rPr>
      </w:pPr>
      <w:hyperlink r:id="rId99">
        <w:r>
          <w:rPr>
            <w:color w:val="000000"/>
          </w:rPr>
          <w:t xml:space="preserve">Nguyen, Luan, John W M Martens, Arne Van </w:t>
        </w:r>
        <w:proofErr w:type="spellStart"/>
        <w:r>
          <w:rPr>
            <w:color w:val="000000"/>
          </w:rPr>
          <w:t>Hoeck</w:t>
        </w:r>
        <w:proofErr w:type="spellEnd"/>
        <w:r>
          <w:rPr>
            <w:color w:val="000000"/>
          </w:rPr>
          <w:t xml:space="preserve">, and Edwin </w:t>
        </w:r>
        <w:proofErr w:type="spellStart"/>
        <w:r>
          <w:rPr>
            <w:color w:val="000000"/>
          </w:rPr>
          <w:t>Cuppen</w:t>
        </w:r>
        <w:proofErr w:type="spellEnd"/>
        <w:r>
          <w:rPr>
            <w:color w:val="000000"/>
          </w:rPr>
          <w:t xml:space="preserve">. 2020. “Pan-Cancer Landscape of Homologous Recombination Deficiency.” </w:t>
        </w:r>
      </w:hyperlink>
      <w:hyperlink r:id="rId100">
        <w:r>
          <w:rPr>
            <w:i/>
            <w:color w:val="000000"/>
          </w:rPr>
          <w:t>Nature Communications</w:t>
        </w:r>
      </w:hyperlink>
      <w:hyperlink r:id="rId101">
        <w:r>
          <w:rPr>
            <w:color w:val="000000"/>
          </w:rPr>
          <w:t xml:space="preserve"> 11 (1): 5584.</w:t>
        </w:r>
      </w:hyperlink>
    </w:p>
    <w:p w14:paraId="52925D23" w14:textId="77777777" w:rsidR="00D37B61" w:rsidRDefault="00000000">
      <w:pPr>
        <w:widowControl w:val="0"/>
        <w:pBdr>
          <w:top w:val="nil"/>
          <w:left w:val="nil"/>
          <w:bottom w:val="nil"/>
          <w:right w:val="nil"/>
          <w:between w:val="nil"/>
        </w:pBdr>
        <w:spacing w:line="240" w:lineRule="auto"/>
        <w:ind w:left="440" w:hanging="440"/>
        <w:rPr>
          <w:color w:val="000000"/>
        </w:rPr>
      </w:pPr>
      <w:hyperlink r:id="rId102">
        <w:r>
          <w:rPr>
            <w:color w:val="000000"/>
          </w:rPr>
          <w:t xml:space="preserve">Patterson, Sara E., </w:t>
        </w:r>
        <w:proofErr w:type="spellStart"/>
        <w:r>
          <w:rPr>
            <w:color w:val="000000"/>
          </w:rPr>
          <w:t>Rangjiao</w:t>
        </w:r>
        <w:proofErr w:type="spellEnd"/>
        <w:r>
          <w:rPr>
            <w:color w:val="000000"/>
          </w:rPr>
          <w:t xml:space="preserve"> Liu, Cara M. </w:t>
        </w:r>
        <w:proofErr w:type="spellStart"/>
        <w:r>
          <w:rPr>
            <w:color w:val="000000"/>
          </w:rPr>
          <w:t>Statz</w:t>
        </w:r>
        <w:proofErr w:type="spellEnd"/>
        <w:r>
          <w:rPr>
            <w:color w:val="000000"/>
          </w:rPr>
          <w:t xml:space="preserve">, Daniel Durkin, Anuradha </w:t>
        </w:r>
        <w:proofErr w:type="spellStart"/>
        <w:r>
          <w:rPr>
            <w:color w:val="000000"/>
          </w:rPr>
          <w:t>Lakshminarayana</w:t>
        </w:r>
        <w:proofErr w:type="spellEnd"/>
        <w:r>
          <w:rPr>
            <w:color w:val="000000"/>
          </w:rPr>
          <w:t xml:space="preserve">, and Susan M. </w:t>
        </w:r>
        <w:proofErr w:type="spellStart"/>
        <w:r>
          <w:rPr>
            <w:color w:val="000000"/>
          </w:rPr>
          <w:t>Mockus</w:t>
        </w:r>
        <w:proofErr w:type="spellEnd"/>
        <w:r>
          <w:rPr>
            <w:color w:val="000000"/>
          </w:rPr>
          <w:t xml:space="preserve">. 2016. “The Clinical Trial Landscape in Oncology and Connectivity of Somatic Mutational Profiles to Targeted Therapies.” </w:t>
        </w:r>
      </w:hyperlink>
      <w:hyperlink r:id="rId103">
        <w:r>
          <w:rPr>
            <w:i/>
            <w:color w:val="000000"/>
          </w:rPr>
          <w:t>Human Genomics</w:t>
        </w:r>
      </w:hyperlink>
      <w:hyperlink r:id="rId104">
        <w:r>
          <w:rPr>
            <w:color w:val="000000"/>
          </w:rPr>
          <w:t xml:space="preserve"> 10 (January): 4.</w:t>
        </w:r>
      </w:hyperlink>
    </w:p>
    <w:p w14:paraId="540BDBC9" w14:textId="77777777" w:rsidR="00D37B61" w:rsidRDefault="00000000">
      <w:pPr>
        <w:widowControl w:val="0"/>
        <w:pBdr>
          <w:top w:val="nil"/>
          <w:left w:val="nil"/>
          <w:bottom w:val="nil"/>
          <w:right w:val="nil"/>
          <w:between w:val="nil"/>
        </w:pBdr>
        <w:spacing w:line="240" w:lineRule="auto"/>
        <w:ind w:left="440" w:hanging="440"/>
        <w:rPr>
          <w:color w:val="000000"/>
        </w:rPr>
      </w:pPr>
      <w:hyperlink r:id="rId105">
        <w:r>
          <w:rPr>
            <w:color w:val="000000"/>
          </w:rPr>
          <w:t xml:space="preserve">Poplin, Ryan, Valentin Ruano-Rubio, Mark A. DePristo, Tim J. Fennell, Mauricio O. Carneiro, Geraldine A. Van der Auwera, David E. Kling, et al. 2018. “Scaling Accurate Genetic Variant Discovery to Tens of Thousands of Samples.” </w:t>
        </w:r>
      </w:hyperlink>
      <w:hyperlink r:id="rId106">
        <w:r>
          <w:rPr>
            <w:i/>
            <w:color w:val="000000"/>
          </w:rPr>
          <w:t>bioRxiv</w:t>
        </w:r>
      </w:hyperlink>
      <w:hyperlink r:id="rId107">
        <w:r>
          <w:rPr>
            <w:color w:val="000000"/>
          </w:rPr>
          <w:t>. https://doi.org/</w:t>
        </w:r>
      </w:hyperlink>
      <w:hyperlink r:id="rId108">
        <w:r>
          <w:rPr>
            <w:color w:val="000000"/>
          </w:rPr>
          <w:t>10.1101/201178</w:t>
        </w:r>
      </w:hyperlink>
      <w:hyperlink r:id="rId109">
        <w:r>
          <w:rPr>
            <w:color w:val="000000"/>
          </w:rPr>
          <w:t>.</w:t>
        </w:r>
      </w:hyperlink>
    </w:p>
    <w:p w14:paraId="65FB8037" w14:textId="77777777" w:rsidR="00D37B61" w:rsidRDefault="00000000">
      <w:pPr>
        <w:widowControl w:val="0"/>
        <w:pBdr>
          <w:top w:val="nil"/>
          <w:left w:val="nil"/>
          <w:bottom w:val="nil"/>
          <w:right w:val="nil"/>
          <w:between w:val="nil"/>
        </w:pBdr>
        <w:spacing w:line="240" w:lineRule="auto"/>
        <w:ind w:left="440" w:hanging="440"/>
        <w:rPr>
          <w:color w:val="000000"/>
        </w:rPr>
      </w:pPr>
      <w:hyperlink r:id="rId110">
        <w:r>
          <w:rPr>
            <w:color w:val="000000"/>
          </w:rPr>
          <w:t xml:space="preserve">Priestley, Peter, Jonathan Baber, </w:t>
        </w:r>
        <w:proofErr w:type="spellStart"/>
        <w:r>
          <w:rPr>
            <w:color w:val="000000"/>
          </w:rPr>
          <w:t>Martijn</w:t>
        </w:r>
        <w:proofErr w:type="spellEnd"/>
        <w:r>
          <w:rPr>
            <w:color w:val="000000"/>
          </w:rPr>
          <w:t xml:space="preserve"> P. </w:t>
        </w:r>
        <w:proofErr w:type="spellStart"/>
        <w:r>
          <w:rPr>
            <w:color w:val="000000"/>
          </w:rPr>
          <w:t>Lolkema</w:t>
        </w:r>
        <w:proofErr w:type="spellEnd"/>
        <w:r>
          <w:rPr>
            <w:color w:val="000000"/>
          </w:rPr>
          <w:t xml:space="preserve">, </w:t>
        </w:r>
        <w:proofErr w:type="spellStart"/>
        <w:r>
          <w:rPr>
            <w:color w:val="000000"/>
          </w:rPr>
          <w:t>Neeltje</w:t>
        </w:r>
        <w:proofErr w:type="spellEnd"/>
        <w:r>
          <w:rPr>
            <w:color w:val="000000"/>
          </w:rPr>
          <w:t xml:space="preserve"> </w:t>
        </w:r>
        <w:proofErr w:type="spellStart"/>
        <w:r>
          <w:rPr>
            <w:color w:val="000000"/>
          </w:rPr>
          <w:t>Steeghs</w:t>
        </w:r>
        <w:proofErr w:type="spellEnd"/>
        <w:r>
          <w:rPr>
            <w:color w:val="000000"/>
          </w:rPr>
          <w:t xml:space="preserve">, Ewart de Bruijn, Charles Shale, </w:t>
        </w:r>
        <w:proofErr w:type="spellStart"/>
        <w:r>
          <w:rPr>
            <w:color w:val="000000"/>
          </w:rPr>
          <w:t>Korneel</w:t>
        </w:r>
        <w:proofErr w:type="spellEnd"/>
        <w:r>
          <w:rPr>
            <w:color w:val="000000"/>
          </w:rPr>
          <w:t xml:space="preserve"> </w:t>
        </w:r>
        <w:proofErr w:type="spellStart"/>
        <w:r>
          <w:rPr>
            <w:color w:val="000000"/>
          </w:rPr>
          <w:t>Duyvesteyn</w:t>
        </w:r>
        <w:proofErr w:type="spellEnd"/>
        <w:r>
          <w:rPr>
            <w:color w:val="000000"/>
          </w:rPr>
          <w:t xml:space="preserve">, et al. 2019. “Pan-Cancer Whole-Genome Analyses of Metastatic Solid </w:t>
        </w:r>
        <w:proofErr w:type="spellStart"/>
        <w:r>
          <w:rPr>
            <w:color w:val="000000"/>
          </w:rPr>
          <w:t>Tumours</w:t>
        </w:r>
        <w:proofErr w:type="spellEnd"/>
        <w:r>
          <w:rPr>
            <w:color w:val="000000"/>
          </w:rPr>
          <w:t xml:space="preserve">.” </w:t>
        </w:r>
      </w:hyperlink>
      <w:hyperlink r:id="rId111">
        <w:r>
          <w:rPr>
            <w:i/>
            <w:color w:val="000000"/>
          </w:rPr>
          <w:t>Nature</w:t>
        </w:r>
      </w:hyperlink>
      <w:hyperlink r:id="rId112">
        <w:r>
          <w:rPr>
            <w:color w:val="000000"/>
          </w:rPr>
          <w:t xml:space="preserve"> 575 (7781): 210–16.</w:t>
        </w:r>
      </w:hyperlink>
    </w:p>
    <w:p w14:paraId="7C72A1C8" w14:textId="77777777" w:rsidR="00D37B61" w:rsidRDefault="00000000">
      <w:pPr>
        <w:widowControl w:val="0"/>
        <w:pBdr>
          <w:top w:val="nil"/>
          <w:left w:val="nil"/>
          <w:bottom w:val="nil"/>
          <w:right w:val="nil"/>
          <w:between w:val="nil"/>
        </w:pBdr>
        <w:spacing w:line="240" w:lineRule="auto"/>
        <w:ind w:left="440" w:hanging="440"/>
        <w:rPr>
          <w:color w:val="000000"/>
        </w:rPr>
      </w:pPr>
      <w:hyperlink r:id="rId113">
        <w:r>
          <w:rPr>
            <w:color w:val="000000"/>
          </w:rPr>
          <w:t>Quinlan, Aaron R., and Ira M. Hall. 2010. “</w:t>
        </w:r>
        <w:proofErr w:type="spellStart"/>
        <w:r>
          <w:rPr>
            <w:color w:val="000000"/>
          </w:rPr>
          <w:t>BEDTools</w:t>
        </w:r>
        <w:proofErr w:type="spellEnd"/>
        <w:r>
          <w:rPr>
            <w:color w:val="000000"/>
          </w:rPr>
          <w:t xml:space="preserve">: A Flexible Suite of Utilities for Comparing Genomic Features.” </w:t>
        </w:r>
      </w:hyperlink>
      <w:hyperlink r:id="rId114">
        <w:r>
          <w:rPr>
            <w:i/>
            <w:color w:val="000000"/>
          </w:rPr>
          <w:t xml:space="preserve">Bioinformatics </w:t>
        </w:r>
      </w:hyperlink>
      <w:hyperlink r:id="rId115">
        <w:r>
          <w:rPr>
            <w:color w:val="000000"/>
          </w:rPr>
          <w:t xml:space="preserve"> 26 (6): 841–42.</w:t>
        </w:r>
      </w:hyperlink>
    </w:p>
    <w:p w14:paraId="54B573C2" w14:textId="77777777" w:rsidR="00D37B61" w:rsidRDefault="00000000">
      <w:pPr>
        <w:widowControl w:val="0"/>
        <w:pBdr>
          <w:top w:val="nil"/>
          <w:left w:val="nil"/>
          <w:bottom w:val="nil"/>
          <w:right w:val="nil"/>
          <w:between w:val="nil"/>
        </w:pBdr>
        <w:spacing w:line="240" w:lineRule="auto"/>
        <w:ind w:left="440" w:hanging="440"/>
        <w:rPr>
          <w:color w:val="000000"/>
        </w:rPr>
      </w:pPr>
      <w:hyperlink r:id="rId116">
        <w:proofErr w:type="spellStart"/>
        <w:r>
          <w:rPr>
            <w:color w:val="000000"/>
          </w:rPr>
          <w:t>Roepman</w:t>
        </w:r>
        <w:proofErr w:type="spellEnd"/>
        <w:r>
          <w:rPr>
            <w:color w:val="000000"/>
          </w:rPr>
          <w:t xml:space="preserve">, Paul, Ewart de Bruijn, Stef van </w:t>
        </w:r>
        <w:proofErr w:type="spellStart"/>
        <w:r>
          <w:rPr>
            <w:color w:val="000000"/>
          </w:rPr>
          <w:t>Lieshout</w:t>
        </w:r>
        <w:proofErr w:type="spellEnd"/>
        <w:r>
          <w:rPr>
            <w:color w:val="000000"/>
          </w:rPr>
          <w:t xml:space="preserve">, </w:t>
        </w:r>
        <w:proofErr w:type="spellStart"/>
        <w:r>
          <w:rPr>
            <w:color w:val="000000"/>
          </w:rPr>
          <w:t>Lieke</w:t>
        </w:r>
        <w:proofErr w:type="spellEnd"/>
        <w:r>
          <w:rPr>
            <w:color w:val="000000"/>
          </w:rPr>
          <w:t xml:space="preserve"> </w:t>
        </w:r>
        <w:proofErr w:type="spellStart"/>
        <w:r>
          <w:rPr>
            <w:color w:val="000000"/>
          </w:rPr>
          <w:t>Schoenmaker</w:t>
        </w:r>
        <w:proofErr w:type="spellEnd"/>
        <w:r>
          <w:rPr>
            <w:color w:val="000000"/>
          </w:rPr>
          <w:t xml:space="preserve">, </w:t>
        </w:r>
        <w:proofErr w:type="spellStart"/>
        <w:r>
          <w:rPr>
            <w:color w:val="000000"/>
          </w:rPr>
          <w:t>Mirjam</w:t>
        </w:r>
        <w:proofErr w:type="spellEnd"/>
        <w:r>
          <w:rPr>
            <w:color w:val="000000"/>
          </w:rPr>
          <w:t xml:space="preserve"> C. </w:t>
        </w:r>
        <w:proofErr w:type="spellStart"/>
        <w:r>
          <w:rPr>
            <w:color w:val="000000"/>
          </w:rPr>
          <w:t>Boelens</w:t>
        </w:r>
        <w:proofErr w:type="spellEnd"/>
        <w:r>
          <w:rPr>
            <w:color w:val="000000"/>
          </w:rPr>
          <w:t xml:space="preserve">, </w:t>
        </w:r>
        <w:proofErr w:type="spellStart"/>
        <w:r>
          <w:rPr>
            <w:color w:val="000000"/>
          </w:rPr>
          <w:t>Hendrikus</w:t>
        </w:r>
        <w:proofErr w:type="spellEnd"/>
        <w:r>
          <w:rPr>
            <w:color w:val="000000"/>
          </w:rPr>
          <w:t xml:space="preserve"> J. </w:t>
        </w:r>
        <w:proofErr w:type="spellStart"/>
        <w:r>
          <w:rPr>
            <w:color w:val="000000"/>
          </w:rPr>
          <w:t>Dubbink</w:t>
        </w:r>
        <w:proofErr w:type="spellEnd"/>
        <w:r>
          <w:rPr>
            <w:color w:val="000000"/>
          </w:rPr>
          <w:t xml:space="preserve">, </w:t>
        </w:r>
        <w:proofErr w:type="spellStart"/>
        <w:r>
          <w:rPr>
            <w:color w:val="000000"/>
          </w:rPr>
          <w:t>Willemina</w:t>
        </w:r>
        <w:proofErr w:type="spellEnd"/>
        <w:r>
          <w:rPr>
            <w:color w:val="000000"/>
          </w:rPr>
          <w:t xml:space="preserve"> R. R. </w:t>
        </w:r>
        <w:proofErr w:type="spellStart"/>
        <w:r>
          <w:rPr>
            <w:color w:val="000000"/>
          </w:rPr>
          <w:t>Geurts-Giele</w:t>
        </w:r>
        <w:proofErr w:type="spellEnd"/>
        <w:r>
          <w:rPr>
            <w:color w:val="000000"/>
          </w:rPr>
          <w:t xml:space="preserve">, et al. 2021. “Clinical Validation of Whole Genome Sequencing for Cancer Diagnostics.” </w:t>
        </w:r>
      </w:hyperlink>
      <w:hyperlink r:id="rId117">
        <w:r>
          <w:rPr>
            <w:i/>
            <w:color w:val="000000"/>
          </w:rPr>
          <w:t>The Journal of Molecular Diagnostics: JMD</w:t>
        </w:r>
      </w:hyperlink>
      <w:hyperlink r:id="rId118">
        <w:r>
          <w:rPr>
            <w:color w:val="000000"/>
          </w:rPr>
          <w:t xml:space="preserve"> 23 (7): 816–33.</w:t>
        </w:r>
      </w:hyperlink>
    </w:p>
    <w:p w14:paraId="5026CE4A" w14:textId="77777777" w:rsidR="00D37B61" w:rsidRDefault="00000000">
      <w:pPr>
        <w:widowControl w:val="0"/>
        <w:pBdr>
          <w:top w:val="nil"/>
          <w:left w:val="nil"/>
          <w:bottom w:val="nil"/>
          <w:right w:val="nil"/>
          <w:between w:val="nil"/>
        </w:pBdr>
        <w:spacing w:line="240" w:lineRule="auto"/>
        <w:ind w:left="440" w:hanging="440"/>
        <w:rPr>
          <w:color w:val="000000"/>
        </w:rPr>
      </w:pPr>
      <w:hyperlink r:id="rId119">
        <w:r>
          <w:rPr>
            <w:color w:val="000000"/>
          </w:rPr>
          <w:t xml:space="preserve">Shale, Charles, Daniel L. Cameron, Jonathan Baber, Marie Wong, Mark J. Cowley, Anthony T. Papenfuss, Edwin </w:t>
        </w:r>
        <w:proofErr w:type="spellStart"/>
        <w:r>
          <w:rPr>
            <w:color w:val="000000"/>
          </w:rPr>
          <w:t>Cuppen</w:t>
        </w:r>
        <w:proofErr w:type="spellEnd"/>
        <w:r>
          <w:rPr>
            <w:color w:val="000000"/>
          </w:rPr>
          <w:t xml:space="preserve">, and Peter Priestley. 2022. “Unscrambling Cancer Genomes via Integrated Analysis of Structural Variation and Copy Number.” </w:t>
        </w:r>
      </w:hyperlink>
      <w:hyperlink r:id="rId120">
        <w:r>
          <w:rPr>
            <w:i/>
            <w:color w:val="000000"/>
          </w:rPr>
          <w:t>Cell Genomics</w:t>
        </w:r>
      </w:hyperlink>
      <w:hyperlink r:id="rId121">
        <w:r>
          <w:rPr>
            <w:color w:val="000000"/>
          </w:rPr>
          <w:t xml:space="preserve"> 2 (4): 100112.</w:t>
        </w:r>
      </w:hyperlink>
    </w:p>
    <w:p w14:paraId="7BC4CD89" w14:textId="77777777" w:rsidR="00D37B61" w:rsidRDefault="00000000">
      <w:pPr>
        <w:widowControl w:val="0"/>
        <w:pBdr>
          <w:top w:val="nil"/>
          <w:left w:val="nil"/>
          <w:bottom w:val="nil"/>
          <w:right w:val="nil"/>
          <w:between w:val="nil"/>
        </w:pBdr>
        <w:spacing w:after="220" w:line="240" w:lineRule="auto"/>
        <w:ind w:left="440" w:hanging="440"/>
        <w:rPr>
          <w:color w:val="000000"/>
        </w:rPr>
      </w:pPr>
      <w:hyperlink r:id="rId122">
        <w:r>
          <w:rPr>
            <w:color w:val="000000"/>
          </w:rPr>
          <w:t xml:space="preserve">Taylor, Alison M., Juliann Shih, Gavin Ha, Galen F. Gao, </w:t>
        </w:r>
        <w:proofErr w:type="spellStart"/>
        <w:r>
          <w:rPr>
            <w:color w:val="000000"/>
          </w:rPr>
          <w:t>Xiaoyang</w:t>
        </w:r>
        <w:proofErr w:type="spellEnd"/>
        <w:r>
          <w:rPr>
            <w:color w:val="000000"/>
          </w:rPr>
          <w:t xml:space="preserve"> Zhang, Ashton C. Berger, Steven E. Schumacher, et al. 2018. “Genomic and Functional Approaches to Understanding Cancer Aneuploidy.” </w:t>
        </w:r>
      </w:hyperlink>
      <w:hyperlink r:id="rId123">
        <w:r>
          <w:rPr>
            <w:i/>
            <w:color w:val="000000"/>
          </w:rPr>
          <w:t>Cancer Cell</w:t>
        </w:r>
      </w:hyperlink>
      <w:hyperlink r:id="rId124">
        <w:r>
          <w:rPr>
            <w:color w:val="000000"/>
          </w:rPr>
          <w:t xml:space="preserve"> 33 (4): 676–</w:t>
        </w:r>
        <w:proofErr w:type="gramStart"/>
        <w:r>
          <w:rPr>
            <w:color w:val="000000"/>
          </w:rPr>
          <w:t>89.e</w:t>
        </w:r>
        <w:proofErr w:type="gramEnd"/>
        <w:r>
          <w:rPr>
            <w:color w:val="000000"/>
          </w:rPr>
          <w:t>3.</w:t>
        </w:r>
      </w:hyperlink>
    </w:p>
    <w:p w14:paraId="480E0D1C" w14:textId="77777777" w:rsidR="00D37B61" w:rsidRDefault="00D37B61">
      <w:pPr>
        <w:widowControl w:val="0"/>
        <w:pBdr>
          <w:top w:val="nil"/>
          <w:left w:val="nil"/>
          <w:bottom w:val="nil"/>
          <w:right w:val="nil"/>
          <w:between w:val="nil"/>
        </w:pBdr>
        <w:spacing w:line="240" w:lineRule="auto"/>
      </w:pPr>
    </w:p>
    <w:sectPr w:rsidR="00D37B61">
      <w:footerReference w:type="default" r:id="rId1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F38D3" w14:textId="77777777" w:rsidR="00D20D44" w:rsidRDefault="00D20D44">
      <w:pPr>
        <w:spacing w:line="240" w:lineRule="auto"/>
      </w:pPr>
      <w:r>
        <w:separator/>
      </w:r>
    </w:p>
  </w:endnote>
  <w:endnote w:type="continuationSeparator" w:id="0">
    <w:p w14:paraId="47EE606A" w14:textId="77777777" w:rsidR="00D20D44" w:rsidRDefault="00D20D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B6AB" w14:textId="77777777" w:rsidR="00D37B61" w:rsidRDefault="00000000">
    <w:pPr>
      <w:jc w:val="right"/>
    </w:pPr>
    <w:r>
      <w:rPr>
        <w:sz w:val="28"/>
        <w:szCs w:val="28"/>
      </w:rPr>
      <w:fldChar w:fldCharType="begin"/>
    </w:r>
    <w:r>
      <w:rPr>
        <w:sz w:val="28"/>
        <w:szCs w:val="28"/>
      </w:rPr>
      <w:instrText>PAGE</w:instrText>
    </w:r>
    <w:r>
      <w:rPr>
        <w:sz w:val="28"/>
        <w:szCs w:val="28"/>
      </w:rPr>
      <w:fldChar w:fldCharType="separate"/>
    </w:r>
    <w:r w:rsidR="00BE4EB3">
      <w:rPr>
        <w:noProof/>
        <w:sz w:val="28"/>
        <w:szCs w:val="28"/>
      </w:rPr>
      <w:t>1</w:t>
    </w:r>
    <w:r>
      <w:rP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72F71" w14:textId="77777777" w:rsidR="00D20D44" w:rsidRDefault="00D20D44">
      <w:pPr>
        <w:spacing w:line="240" w:lineRule="auto"/>
      </w:pPr>
      <w:r>
        <w:separator/>
      </w:r>
    </w:p>
  </w:footnote>
  <w:footnote w:type="continuationSeparator" w:id="0">
    <w:p w14:paraId="2E2828FD" w14:textId="77777777" w:rsidR="00D20D44" w:rsidRDefault="00D20D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02BC"/>
    <w:multiLevelType w:val="multilevel"/>
    <w:tmpl w:val="04FA624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061EB5"/>
    <w:multiLevelType w:val="multilevel"/>
    <w:tmpl w:val="96583C6A"/>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C6163AD"/>
    <w:multiLevelType w:val="multilevel"/>
    <w:tmpl w:val="51CEC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394784"/>
    <w:multiLevelType w:val="multilevel"/>
    <w:tmpl w:val="D35E7ED4"/>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23C721F"/>
    <w:multiLevelType w:val="multilevel"/>
    <w:tmpl w:val="DD464C96"/>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D475CAB"/>
    <w:multiLevelType w:val="multilevel"/>
    <w:tmpl w:val="B4E67910"/>
    <w:lvl w:ilvl="0">
      <w:start w:val="1"/>
      <w:numFmt w:val="bullet"/>
      <w:lvlText w:val="●"/>
      <w:lvlJc w:val="left"/>
      <w:pPr>
        <w:ind w:left="1440" w:hanging="360"/>
      </w:pPr>
      <w:rPr>
        <w:rFonts w:ascii="Verdana" w:eastAsia="Verdana" w:hAnsi="Verdana" w:cs="Verdana"/>
        <w:sz w:val="18"/>
        <w:szCs w:val="1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C6D197A"/>
    <w:multiLevelType w:val="multilevel"/>
    <w:tmpl w:val="1C48713C"/>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CDB001A"/>
    <w:multiLevelType w:val="multilevel"/>
    <w:tmpl w:val="2C16A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151FFD"/>
    <w:multiLevelType w:val="multilevel"/>
    <w:tmpl w:val="D326E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307B54"/>
    <w:multiLevelType w:val="multilevel"/>
    <w:tmpl w:val="1020DCB6"/>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C69162B"/>
    <w:multiLevelType w:val="multilevel"/>
    <w:tmpl w:val="327C0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1185534">
    <w:abstractNumId w:val="6"/>
  </w:num>
  <w:num w:numId="2" w16cid:durableId="1429815633">
    <w:abstractNumId w:val="7"/>
  </w:num>
  <w:num w:numId="3" w16cid:durableId="1614823115">
    <w:abstractNumId w:val="10"/>
  </w:num>
  <w:num w:numId="4" w16cid:durableId="286620131">
    <w:abstractNumId w:val="0"/>
  </w:num>
  <w:num w:numId="5" w16cid:durableId="150029890">
    <w:abstractNumId w:val="8"/>
  </w:num>
  <w:num w:numId="6" w16cid:durableId="220293506">
    <w:abstractNumId w:val="3"/>
  </w:num>
  <w:num w:numId="7" w16cid:durableId="1925262381">
    <w:abstractNumId w:val="9"/>
  </w:num>
  <w:num w:numId="8" w16cid:durableId="864173456">
    <w:abstractNumId w:val="1"/>
  </w:num>
  <w:num w:numId="9" w16cid:durableId="274555701">
    <w:abstractNumId w:val="2"/>
  </w:num>
  <w:num w:numId="10" w16cid:durableId="172958531">
    <w:abstractNumId w:val="4"/>
  </w:num>
  <w:num w:numId="11" w16cid:durableId="19054844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B61"/>
    <w:rsid w:val="00BE4EB3"/>
    <w:rsid w:val="00D20D44"/>
    <w:rsid w:val="00D37B61"/>
    <w:rsid w:val="00DF0C9B"/>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787954A2"/>
  <w15:docId w15:val="{1CC93CD2-4F05-2C43-91D9-7F9008BE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github.com/hartwigmedical/hmftools/tree/master/cider" TargetMode="External"/><Relationship Id="rId117" Type="http://schemas.openxmlformats.org/officeDocument/2006/relationships/hyperlink" Target="http://paperpile.com/b/k7SKn3/vLUs" TargetMode="External"/><Relationship Id="rId21" Type="http://schemas.openxmlformats.org/officeDocument/2006/relationships/hyperlink" Target="https://paperpile.com/c/k7SKn3/J7wB" TargetMode="External"/><Relationship Id="rId42" Type="http://schemas.openxmlformats.org/officeDocument/2006/relationships/hyperlink" Target="https://resources.hartwigmedicalfoundation.nl" TargetMode="External"/><Relationship Id="rId47" Type="http://schemas.openxmlformats.org/officeDocument/2006/relationships/hyperlink" Target="https://www.jax.org/clinical-genomics/ckb" TargetMode="External"/><Relationship Id="rId63" Type="http://schemas.openxmlformats.org/officeDocument/2006/relationships/hyperlink" Target="https://github.com/hartwigmedical/oncoact/blob/master/protect/README.md" TargetMode="External"/><Relationship Id="rId68" Type="http://schemas.openxmlformats.org/officeDocument/2006/relationships/hyperlink" Target="https://samtools.github.io/hts-specs/BEDv1.pdf" TargetMode="External"/><Relationship Id="rId84" Type="http://schemas.openxmlformats.org/officeDocument/2006/relationships/hyperlink" Target="http://paperpile.com/b/k7SKn3/9VrR" TargetMode="External"/><Relationship Id="rId89" Type="http://schemas.openxmlformats.org/officeDocument/2006/relationships/hyperlink" Target="http://paperpile.com/b/k7SKn3/ypNS" TargetMode="External"/><Relationship Id="rId112" Type="http://schemas.openxmlformats.org/officeDocument/2006/relationships/hyperlink" Target="http://paperpile.com/b/k7SKn3/AkJj" TargetMode="External"/><Relationship Id="rId16" Type="http://schemas.openxmlformats.org/officeDocument/2006/relationships/hyperlink" Target="https://paperpile.com/c/k7SKn3/AkJj" TargetMode="External"/><Relationship Id="rId107" Type="http://schemas.openxmlformats.org/officeDocument/2006/relationships/hyperlink" Target="http://paperpile.com/b/k7SKn3/issL" TargetMode="External"/><Relationship Id="rId11"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8.png"/><Relationship Id="rId53" Type="http://schemas.openxmlformats.org/officeDocument/2006/relationships/image" Target="media/image10.png"/><Relationship Id="rId58" Type="http://schemas.openxmlformats.org/officeDocument/2006/relationships/hyperlink" Target="https://github.com/hartwigmedical/hmftools/blob/master/purple/README.md" TargetMode="External"/><Relationship Id="rId74" Type="http://schemas.openxmlformats.org/officeDocument/2006/relationships/hyperlink" Target="http://paperpile.com/b/k7SKn3/q1ds" TargetMode="External"/><Relationship Id="rId79" Type="http://schemas.openxmlformats.org/officeDocument/2006/relationships/hyperlink" Target="http://paperpile.com/b/k7SKn3/Td1K" TargetMode="External"/><Relationship Id="rId102" Type="http://schemas.openxmlformats.org/officeDocument/2006/relationships/hyperlink" Target="http://paperpile.com/b/k7SKn3/y2Pq" TargetMode="External"/><Relationship Id="rId123" Type="http://schemas.openxmlformats.org/officeDocument/2006/relationships/hyperlink" Target="http://paperpile.com/b/k7SKn3/aEk6" TargetMode="External"/><Relationship Id="rId5" Type="http://schemas.openxmlformats.org/officeDocument/2006/relationships/footnotes" Target="footnotes.xml"/><Relationship Id="rId90" Type="http://schemas.openxmlformats.org/officeDocument/2006/relationships/hyperlink" Target="http://paperpile.com/b/k7SKn3/A3De" TargetMode="External"/><Relationship Id="rId95" Type="http://schemas.openxmlformats.org/officeDocument/2006/relationships/hyperlink" Target="http://paperpile.com/b/k7SKn3/QDzG" TargetMode="External"/><Relationship Id="rId22" Type="http://schemas.openxmlformats.org/officeDocument/2006/relationships/image" Target="media/image5.png"/><Relationship Id="rId27" Type="http://schemas.openxmlformats.org/officeDocument/2006/relationships/image" Target="media/image6.png"/><Relationship Id="rId43" Type="http://schemas.openxmlformats.org/officeDocument/2006/relationships/hyperlink" Target="https://paperpile.com/c/k7SKn3/QDzG" TargetMode="External"/><Relationship Id="rId48" Type="http://schemas.openxmlformats.org/officeDocument/2006/relationships/hyperlink" Target="https://paperpile.com/c/k7SKn3/y2Pq" TargetMode="External"/><Relationship Id="rId64" Type="http://schemas.openxmlformats.org/officeDocument/2006/relationships/hyperlink" Target="https://www.jax.org/clinical-genomics/ckb" TargetMode="External"/><Relationship Id="rId69" Type="http://schemas.openxmlformats.org/officeDocument/2006/relationships/hyperlink" Target="https://paperpile.com/c/k7SKn3/I8WU" TargetMode="External"/><Relationship Id="rId113" Type="http://schemas.openxmlformats.org/officeDocument/2006/relationships/hyperlink" Target="http://paperpile.com/b/k7SKn3/I8WU" TargetMode="External"/><Relationship Id="rId118" Type="http://schemas.openxmlformats.org/officeDocument/2006/relationships/hyperlink" Target="http://paperpile.com/b/k7SKn3/vLUs" TargetMode="External"/><Relationship Id="rId80" Type="http://schemas.openxmlformats.org/officeDocument/2006/relationships/hyperlink" Target="http://paperpile.com/b/k7SKn3/Td1K" TargetMode="External"/><Relationship Id="rId85" Type="http://schemas.openxmlformats.org/officeDocument/2006/relationships/hyperlink" Target="http://paperpile.com/b/k7SKn3/9VrR" TargetMode="External"/><Relationship Id="rId12" Type="http://schemas.openxmlformats.org/officeDocument/2006/relationships/image" Target="media/image3.png"/><Relationship Id="rId17" Type="http://schemas.openxmlformats.org/officeDocument/2006/relationships/hyperlink" Target="https://paperpile.com/c/k7SKn3/nkuG" TargetMode="External"/><Relationship Id="rId33" Type="http://schemas.openxmlformats.org/officeDocument/2006/relationships/hyperlink" Target="https://cancer.sanger.ac.uk/signatures/" TargetMode="External"/><Relationship Id="rId38" Type="http://schemas.openxmlformats.org/officeDocument/2006/relationships/hyperlink" Target="https://github.com/hartwigmedical/hmftools/blob/master/purple/README.md" TargetMode="External"/><Relationship Id="rId59" Type="http://schemas.openxmlformats.org/officeDocument/2006/relationships/image" Target="media/image11.png"/><Relationship Id="rId103" Type="http://schemas.openxmlformats.org/officeDocument/2006/relationships/hyperlink" Target="http://paperpile.com/b/k7SKn3/y2Pq" TargetMode="External"/><Relationship Id="rId108" Type="http://schemas.openxmlformats.org/officeDocument/2006/relationships/hyperlink" Target="http://dx.doi.org/10.1101/201178" TargetMode="External"/><Relationship Id="rId124" Type="http://schemas.openxmlformats.org/officeDocument/2006/relationships/hyperlink" Target="http://paperpile.com/b/k7SKn3/aEk6" TargetMode="External"/><Relationship Id="rId54" Type="http://schemas.openxmlformats.org/officeDocument/2006/relationships/hyperlink" Target="https://paperpile.com/c/k7SKn3/s1vB" TargetMode="External"/><Relationship Id="rId70" Type="http://schemas.openxmlformats.org/officeDocument/2006/relationships/image" Target="media/image12.png"/><Relationship Id="rId75" Type="http://schemas.openxmlformats.org/officeDocument/2006/relationships/hyperlink" Target="http://paperpile.com/b/k7SKn3/hS5r" TargetMode="External"/><Relationship Id="rId91" Type="http://schemas.openxmlformats.org/officeDocument/2006/relationships/hyperlink" Target="http://paperpile.com/b/k7SKn3/A3De" TargetMode="External"/><Relationship Id="rId96" Type="http://schemas.openxmlformats.org/officeDocument/2006/relationships/hyperlink" Target="http://paperpile.com/b/k7SKn3/nku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github.com/hartwigmedical/hmftools/blob/master/purple/README.md" TargetMode="External"/><Relationship Id="rId28" Type="http://schemas.openxmlformats.org/officeDocument/2006/relationships/hyperlink" Target="https://paperpile.com/c/k7SKn3/aEk6" TargetMode="External"/><Relationship Id="rId49" Type="http://schemas.openxmlformats.org/officeDocument/2006/relationships/hyperlink" Target="https://www.genomenon.com/" TargetMode="External"/><Relationship Id="rId114" Type="http://schemas.openxmlformats.org/officeDocument/2006/relationships/hyperlink" Target="http://paperpile.com/b/k7SKn3/I8WU" TargetMode="External"/><Relationship Id="rId119" Type="http://schemas.openxmlformats.org/officeDocument/2006/relationships/hyperlink" Target="http://paperpile.com/b/k7SKn3/wbUK" TargetMode="External"/><Relationship Id="rId44" Type="http://schemas.openxmlformats.org/officeDocument/2006/relationships/hyperlink" Target="https://paperpile.com/c/k7SKn3/Td1K" TargetMode="External"/><Relationship Id="rId60" Type="http://schemas.openxmlformats.org/officeDocument/2006/relationships/hyperlink" Target="https://emea.illumina.com/products/by-type/clinical-research-products/trusight-oncology-500.html" TargetMode="External"/><Relationship Id="rId65" Type="http://schemas.openxmlformats.org/officeDocument/2006/relationships/hyperlink" Target="https://paperpile.com/c/k7SKn3/y2Pq" TargetMode="External"/><Relationship Id="rId81" Type="http://schemas.openxmlformats.org/officeDocument/2006/relationships/hyperlink" Target="http://paperpile.com/b/k7SKn3/s1vB" TargetMode="External"/><Relationship Id="rId86" Type="http://schemas.openxmlformats.org/officeDocument/2006/relationships/hyperlink" Target="http://paperpile.com/b/k7SKn3/9VrR" TargetMode="External"/><Relationship Id="rId13" Type="http://schemas.openxmlformats.org/officeDocument/2006/relationships/hyperlink" Target="https://paperpile.com/c/k7SKn3/vLUs" TargetMode="External"/><Relationship Id="rId18" Type="http://schemas.openxmlformats.org/officeDocument/2006/relationships/hyperlink" Target="https://github.com/hartwigmedical/hmftools/blob/master/lilac/README.md" TargetMode="External"/><Relationship Id="rId39" Type="http://schemas.openxmlformats.org/officeDocument/2006/relationships/hyperlink" Target="https://paperpile.com/c/k7SKn3/AkJj" TargetMode="External"/><Relationship Id="rId109" Type="http://schemas.openxmlformats.org/officeDocument/2006/relationships/hyperlink" Target="http://paperpile.com/b/k7SKn3/issL" TargetMode="External"/><Relationship Id="rId34" Type="http://schemas.openxmlformats.org/officeDocument/2006/relationships/hyperlink" Target="https://paperpile.com/c/k7SKn3/9VrR" TargetMode="External"/><Relationship Id="rId50" Type="http://schemas.openxmlformats.org/officeDocument/2006/relationships/hyperlink" Target="https://github.com/hartwigmedical/oncoact/blob/master/protect/README.md" TargetMode="External"/><Relationship Id="rId55" Type="http://schemas.openxmlformats.org/officeDocument/2006/relationships/hyperlink" Target="https://paperpile.com/c/k7SKn3/issL" TargetMode="External"/><Relationship Id="rId76" Type="http://schemas.openxmlformats.org/officeDocument/2006/relationships/hyperlink" Target="http://paperpile.com/b/k7SKn3/hS5r" TargetMode="External"/><Relationship Id="rId97" Type="http://schemas.openxmlformats.org/officeDocument/2006/relationships/hyperlink" Target="http://paperpile.com/b/k7SKn3/nkuG" TargetMode="External"/><Relationship Id="rId104" Type="http://schemas.openxmlformats.org/officeDocument/2006/relationships/hyperlink" Target="http://paperpile.com/b/k7SKn3/y2Pq" TargetMode="External"/><Relationship Id="rId120" Type="http://schemas.openxmlformats.org/officeDocument/2006/relationships/hyperlink" Target="http://paperpile.com/b/k7SKn3/wbUK" TargetMode="External"/><Relationship Id="rId125" Type="http://schemas.openxmlformats.org/officeDocument/2006/relationships/footer" Target="footer1.xml"/><Relationship Id="rId7" Type="http://schemas.openxmlformats.org/officeDocument/2006/relationships/hyperlink" Target="https://www.hartwigmedicalfoundation.nl/en/data/database/" TargetMode="External"/><Relationship Id="rId71" Type="http://schemas.openxmlformats.org/officeDocument/2006/relationships/image" Target="media/image13.png"/><Relationship Id="rId92" Type="http://schemas.openxmlformats.org/officeDocument/2006/relationships/hyperlink" Target="http://paperpile.com/b/k7SKn3/A3De" TargetMode="External"/><Relationship Id="rId2" Type="http://schemas.openxmlformats.org/officeDocument/2006/relationships/styles" Target="styles.xml"/><Relationship Id="rId29" Type="http://schemas.openxmlformats.org/officeDocument/2006/relationships/hyperlink" Target="https://paperpile.com/c/k7SKn3/hS5r+q1ds" TargetMode="External"/><Relationship Id="rId24" Type="http://schemas.openxmlformats.org/officeDocument/2006/relationships/hyperlink" Target="https://paperpile.com/c/k7SKn3/AkJj" TargetMode="External"/><Relationship Id="rId40" Type="http://schemas.openxmlformats.org/officeDocument/2006/relationships/hyperlink" Target="https://github.com/hartwigmedical/hmftools/blob/master/linx/README.md" TargetMode="External"/><Relationship Id="rId45" Type="http://schemas.openxmlformats.org/officeDocument/2006/relationships/hyperlink" Target="https://paperpile.com/c/k7SKn3/AkJj" TargetMode="External"/><Relationship Id="rId66" Type="http://schemas.openxmlformats.org/officeDocument/2006/relationships/hyperlink" Target="https://emea.illumina.com/products/by-brand/trusight-oncology/tso-500-portfolio.html" TargetMode="External"/><Relationship Id="rId87" Type="http://schemas.openxmlformats.org/officeDocument/2006/relationships/hyperlink" Target="http://paperpile.com/b/k7SKn3/ypNS" TargetMode="External"/><Relationship Id="rId110" Type="http://schemas.openxmlformats.org/officeDocument/2006/relationships/hyperlink" Target="http://paperpile.com/b/k7SKn3/AkJj" TargetMode="External"/><Relationship Id="rId115" Type="http://schemas.openxmlformats.org/officeDocument/2006/relationships/hyperlink" Target="http://paperpile.com/b/k7SKn3/I8WU" TargetMode="External"/><Relationship Id="rId61" Type="http://schemas.openxmlformats.org/officeDocument/2006/relationships/hyperlink" Target="https://emea.illumina.com/products/by-type/clinical-research-products/trusight-oncology-500.html" TargetMode="External"/><Relationship Id="rId82" Type="http://schemas.openxmlformats.org/officeDocument/2006/relationships/hyperlink" Target="http://paperpile.com/b/k7SKn3/s1vB" TargetMode="External"/><Relationship Id="rId19" Type="http://schemas.openxmlformats.org/officeDocument/2006/relationships/hyperlink" Target="https://github.com/hartwigmedical/hmftools/tree/master/virus-interpreter" TargetMode="External"/><Relationship Id="rId14" Type="http://schemas.openxmlformats.org/officeDocument/2006/relationships/image" Target="media/image4.png"/><Relationship Id="rId30" Type="http://schemas.openxmlformats.org/officeDocument/2006/relationships/hyperlink" Target="https://github.com/hartwigmedical/hmftools/blob/master/purple/README.md" TargetMode="External"/><Relationship Id="rId35" Type="http://schemas.openxmlformats.org/officeDocument/2006/relationships/hyperlink" Target="https://github.com/hartwigmedical/hmftools/blob/master/purple/README.md" TargetMode="External"/><Relationship Id="rId56" Type="http://schemas.openxmlformats.org/officeDocument/2006/relationships/hyperlink" Target="https://paperpile.com/c/k7SKn3/ypNS" TargetMode="External"/><Relationship Id="rId77" Type="http://schemas.openxmlformats.org/officeDocument/2006/relationships/hyperlink" Target="http://paperpile.com/b/k7SKn3/hS5r" TargetMode="External"/><Relationship Id="rId100" Type="http://schemas.openxmlformats.org/officeDocument/2006/relationships/hyperlink" Target="http://paperpile.com/b/k7SKn3/J7wB" TargetMode="External"/><Relationship Id="rId105" Type="http://schemas.openxmlformats.org/officeDocument/2006/relationships/hyperlink" Target="http://paperpile.com/b/k7SKn3/issL" TargetMode="External"/><Relationship Id="rId126" Type="http://schemas.openxmlformats.org/officeDocument/2006/relationships/fontTable" Target="fontTable.xml"/><Relationship Id="rId8" Type="http://schemas.openxmlformats.org/officeDocument/2006/relationships/hyperlink" Target="https://github.com/hartwigmedical/hmftools?tab=readme-ov-file" TargetMode="External"/><Relationship Id="rId51" Type="http://schemas.openxmlformats.org/officeDocument/2006/relationships/hyperlink" Target="https://paperpile.com/c/k7SKn3/A3De" TargetMode="External"/><Relationship Id="rId72" Type="http://schemas.openxmlformats.org/officeDocument/2006/relationships/hyperlink" Target="http://paperpile.com/b/k7SKn3/q1ds" TargetMode="External"/><Relationship Id="rId93" Type="http://schemas.openxmlformats.org/officeDocument/2006/relationships/hyperlink" Target="http://paperpile.com/b/k7SKn3/QDzG" TargetMode="External"/><Relationship Id="rId98" Type="http://schemas.openxmlformats.org/officeDocument/2006/relationships/hyperlink" Target="http://paperpile.com/b/k7SKn3/nkuG" TargetMode="External"/><Relationship Id="rId121" Type="http://schemas.openxmlformats.org/officeDocument/2006/relationships/hyperlink" Target="http://paperpile.com/b/k7SKn3/wbUK" TargetMode="External"/><Relationship Id="rId3" Type="http://schemas.openxmlformats.org/officeDocument/2006/relationships/settings" Target="settings.xml"/><Relationship Id="rId25" Type="http://schemas.openxmlformats.org/officeDocument/2006/relationships/hyperlink" Target="https://github.com/hartwigmedical/hmftools/blob/master/teal/README.md" TargetMode="External"/><Relationship Id="rId46" Type="http://schemas.openxmlformats.org/officeDocument/2006/relationships/image" Target="media/image9.png"/><Relationship Id="rId67" Type="http://schemas.openxmlformats.org/officeDocument/2006/relationships/hyperlink" Target="https://www.google.com/url?q=https://www.thermofisher.com/es/es/home/life-science/sequencing/next-generation-sequencing/ion-torrent-next-generation-sequencing-workflow/ion-torrent-next-generation-sequencing-select-targets/ampliseq-target-selection.html%23panels&amp;sa=D&amp;source=docs&amp;ust=1720188301272085&amp;usg=AOvVaw2xefSmtY-yLLFtBNvvfxBx" TargetMode="External"/><Relationship Id="rId116" Type="http://schemas.openxmlformats.org/officeDocument/2006/relationships/hyperlink" Target="http://paperpile.com/b/k7SKn3/vLUs" TargetMode="External"/><Relationship Id="rId20" Type="http://schemas.openxmlformats.org/officeDocument/2006/relationships/hyperlink" Target="https://github.com/UMCUGenetics/CHORD" TargetMode="External"/><Relationship Id="rId41" Type="http://schemas.openxmlformats.org/officeDocument/2006/relationships/hyperlink" Target="https://paperpile.com/c/k7SKn3/wbUK" TargetMode="External"/><Relationship Id="rId62" Type="http://schemas.openxmlformats.org/officeDocument/2006/relationships/hyperlink" Target="https://www.thermofisher.com/es/es/home/life-science/sequencing/next-generation-sequencing/ion-torrent-next-generation-sequencing-workflow/ion-torrent-next-generation-sequencing-select-targets/ampliseq-target-selection.html" TargetMode="External"/><Relationship Id="rId83" Type="http://schemas.openxmlformats.org/officeDocument/2006/relationships/hyperlink" Target="http://paperpile.com/b/k7SKn3/s1vB" TargetMode="External"/><Relationship Id="rId88" Type="http://schemas.openxmlformats.org/officeDocument/2006/relationships/hyperlink" Target="http://paperpile.com/b/k7SKn3/ypNS" TargetMode="External"/><Relationship Id="rId111" Type="http://schemas.openxmlformats.org/officeDocument/2006/relationships/hyperlink" Target="http://paperpile.com/b/k7SKn3/AkJj" TargetMode="External"/><Relationship Id="rId15" Type="http://schemas.openxmlformats.org/officeDocument/2006/relationships/hyperlink" Target="https://github.com/hartwigmedical/hmftools/blob/master/purple/README.md" TargetMode="External"/><Relationship Id="rId36" Type="http://schemas.openxmlformats.org/officeDocument/2006/relationships/hyperlink" Target="https://paperpile.com/c/k7SKn3/AkJj" TargetMode="External"/><Relationship Id="rId57" Type="http://schemas.openxmlformats.org/officeDocument/2006/relationships/hyperlink" Target="https://paperpile.com/c/k7SKn3/AkJj" TargetMode="External"/><Relationship Id="rId106" Type="http://schemas.openxmlformats.org/officeDocument/2006/relationships/hyperlink" Target="http://paperpile.com/b/k7SKn3/issL" TargetMode="External"/><Relationship Id="rId12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paperpile.com/c/k7SKn3/AkJj" TargetMode="External"/><Relationship Id="rId52" Type="http://schemas.openxmlformats.org/officeDocument/2006/relationships/hyperlink" Target="https://paperpile.com/c/k7SKn3/A3De" TargetMode="External"/><Relationship Id="rId73" Type="http://schemas.openxmlformats.org/officeDocument/2006/relationships/hyperlink" Target="http://paperpile.com/b/k7SKn3/q1ds" TargetMode="External"/><Relationship Id="rId78" Type="http://schemas.openxmlformats.org/officeDocument/2006/relationships/hyperlink" Target="http://paperpile.com/b/k7SKn3/Td1K" TargetMode="External"/><Relationship Id="rId94" Type="http://schemas.openxmlformats.org/officeDocument/2006/relationships/hyperlink" Target="http://paperpile.com/b/k7SKn3/QDzG" TargetMode="External"/><Relationship Id="rId99" Type="http://schemas.openxmlformats.org/officeDocument/2006/relationships/hyperlink" Target="http://paperpile.com/b/k7SKn3/J7wB" TargetMode="External"/><Relationship Id="rId101" Type="http://schemas.openxmlformats.org/officeDocument/2006/relationships/hyperlink" Target="http://paperpile.com/b/k7SKn3/J7wB" TargetMode="External"/><Relationship Id="rId122" Type="http://schemas.openxmlformats.org/officeDocument/2006/relationships/hyperlink" Target="http://paperpile.com/b/k7SKn3/aEk6" TargetMode="External"/><Relationship Id="rId4" Type="http://schemas.openxmlformats.org/officeDocument/2006/relationships/webSettings" Target="webSettings.xml"/><Relationship Id="rId9" Type="http://schemas.openxmlformats.org/officeDocument/2006/relationships/hyperlink" Target="https://www.hartwigmedicalfoundation.nl/en/data/data-access-requ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5633</Words>
  <Characters>32111</Characters>
  <Application>Microsoft Office Word</Application>
  <DocSecurity>0</DocSecurity>
  <Lines>267</Lines>
  <Paragraphs>75</Paragraphs>
  <ScaleCrop>false</ScaleCrop>
  <Company/>
  <LinksUpToDate>false</LinksUpToDate>
  <CharactersWithSpaces>37669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Joseph Usset</cp:lastModifiedBy>
  <cp:revision>2</cp:revision>
  <dcterms:created xsi:type="dcterms:W3CDTF">2024-07-07T12:54:00Z</dcterms:created>
  <dcterms:modified xsi:type="dcterms:W3CDTF">2024-07-07T12:54:00Z</dcterms:modified>
</cp:coreProperties>
</file>